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spacing w:line="480" w:lineRule="auto"/>
        <w:jc w:val="both"/>
        <w:rPr>
          <w:rStyle w:val="page number"/>
          <w:rFonts w:ascii="Arial" w:cs="Arial" w:hAnsi="Arial" w:eastAsia="Arial"/>
          <w:b w:val="1"/>
          <w:bCs w:val="1"/>
          <w:sz w:val="24"/>
          <w:szCs w:val="24"/>
          <w:u w:val="single"/>
        </w:rPr>
      </w:pPr>
      <w:r>
        <w:rPr>
          <w:rStyle w:val="page number"/>
          <w:rFonts w:ascii="Arial" w:hAnsi="Arial"/>
          <w:b w:val="1"/>
          <w:bCs w:val="1"/>
          <w:sz w:val="24"/>
          <w:szCs w:val="24"/>
          <w:u w:val="single"/>
          <w:rtl w:val="0"/>
          <w:lang w:val="en-US"/>
        </w:rPr>
        <w:t>Supplementary Materials and Methods</w:t>
      </w:r>
    </w:p>
    <w:p>
      <w:pPr>
        <w:pStyle w:val="Body"/>
        <w:spacing w:line="480" w:lineRule="auto"/>
        <w:jc w:val="both"/>
        <w:rPr>
          <w:rStyle w:val="page number"/>
          <w:rFonts w:ascii="Arial" w:cs="Arial" w:hAnsi="Arial" w:eastAsia="Arial"/>
          <w:i w:val="1"/>
          <w:iCs w:val="1"/>
          <w:sz w:val="24"/>
          <w:szCs w:val="24"/>
          <w:u w:val="single"/>
        </w:rPr>
      </w:pPr>
      <w:r>
        <w:rPr>
          <w:rStyle w:val="page number"/>
          <w:rFonts w:ascii="Arial" w:hAnsi="Arial"/>
          <w:i w:val="1"/>
          <w:iCs w:val="1"/>
          <w:sz w:val="24"/>
          <w:szCs w:val="24"/>
          <w:u w:val="single"/>
          <w:rtl w:val="0"/>
          <w:lang w:val="en-US"/>
        </w:rPr>
        <w:t>Cell lines and culturing conditions</w:t>
      </w:r>
    </w:p>
    <w:p>
      <w:pPr>
        <w:pStyle w:val="Body"/>
        <w:widowControl w:val="0"/>
        <w:spacing w:after="240" w:line="480" w:lineRule="auto"/>
        <w:jc w:val="both"/>
        <w:rPr>
          <w:rStyle w:val="page number"/>
          <w:rFonts w:ascii="Arial" w:cs="Arial" w:hAnsi="Arial" w:eastAsia="Arial"/>
          <w:sz w:val="24"/>
          <w:szCs w:val="24"/>
        </w:rPr>
      </w:pPr>
      <w:r>
        <w:rPr>
          <w:rStyle w:val="page number"/>
          <w:rFonts w:ascii="Arial" w:hAnsi="Arial"/>
          <w:sz w:val="24"/>
          <w:szCs w:val="24"/>
          <w:rtl w:val="0"/>
          <w:lang w:val="en-US"/>
        </w:rPr>
        <w:t>Karpas 299 and Sup-M2 (ALK+ ALCL), Mac1 and Mac2A (ALK- ALCL), L88 (bone marrow derived fibroblasts) cell lines were cultured in 175 cm</w:t>
      </w:r>
      <w:r>
        <w:rPr>
          <w:rStyle w:val="page number"/>
          <w:rFonts w:ascii="Arial" w:hAnsi="Arial"/>
          <w:position w:val="16"/>
          <w:sz w:val="24"/>
          <w:szCs w:val="24"/>
          <w:rtl w:val="0"/>
          <w:lang w:val="en-US"/>
        </w:rPr>
        <w:t xml:space="preserve">2 </w:t>
      </w:r>
      <w:r>
        <w:rPr>
          <w:rStyle w:val="page number"/>
          <w:rFonts w:ascii="Arial" w:hAnsi="Arial"/>
          <w:sz w:val="24"/>
          <w:szCs w:val="24"/>
          <w:rtl w:val="0"/>
          <w:lang w:val="en-US"/>
        </w:rPr>
        <w:t xml:space="preserve">flasks in RPMI 1640 (Hyclone, GE Healthcare Life Sciences, Logan, UT, USA) supplemented with 10% Fetal Bovine Serum (Hyclone, GE Healthcare Life Sciences), Glutamine (2mM), Penicillin and Streptomycin (50 </w:t>
      </w:r>
      <w:r>
        <w:rPr>
          <w:rStyle w:val="page number"/>
          <w:rFonts w:ascii="Arial" w:hAnsi="Arial" w:hint="default"/>
          <w:sz w:val="24"/>
          <w:szCs w:val="24"/>
          <w:rtl w:val="0"/>
          <w:lang w:val="sv-SE"/>
        </w:rPr>
        <w:t>μ</w:t>
      </w:r>
      <w:r>
        <w:rPr>
          <w:rStyle w:val="page number"/>
          <w:rFonts w:ascii="Arial" w:hAnsi="Arial"/>
          <w:sz w:val="24"/>
          <w:szCs w:val="24"/>
          <w:rtl w:val="0"/>
          <w:lang w:val="en-US"/>
        </w:rPr>
        <w:t xml:space="preserve">g/ml) (Life technologies, Carlsbad, CA, USA) and </w:t>
      </w:r>
      <w:r>
        <w:rPr>
          <w:rStyle w:val="page number"/>
          <w:rFonts w:ascii="Arial" w:hAnsi="Arial"/>
          <w:rtl w:val="0"/>
          <w:lang w:val="en-US"/>
        </w:rPr>
        <w:t>incubated at 37</w:t>
      </w:r>
      <w:r>
        <w:rPr>
          <w:rStyle w:val="page number"/>
          <w:rFonts w:ascii="Arial" w:hAnsi="Arial" w:hint="default"/>
          <w:rtl w:val="0"/>
          <w:lang w:val="sv-SE"/>
        </w:rPr>
        <w:t>°</w:t>
      </w:r>
      <w:r>
        <w:rPr>
          <w:rStyle w:val="page number"/>
          <w:rFonts w:ascii="Arial" w:hAnsi="Arial"/>
          <w:rtl w:val="0"/>
          <w:lang w:val="en-US"/>
        </w:rPr>
        <w:t>C in a humidified atmosphere containing 5% CO</w:t>
      </w:r>
      <w:r>
        <w:rPr>
          <w:rStyle w:val="page number"/>
          <w:rFonts w:ascii="Arial" w:hAnsi="Arial"/>
          <w:vertAlign w:val="subscript"/>
          <w:rtl w:val="0"/>
        </w:rPr>
        <w:t>2</w:t>
      </w:r>
      <w:r>
        <w:rPr>
          <w:rStyle w:val="page number"/>
          <w:rFonts w:ascii="Arial" w:hAnsi="Arial"/>
          <w:sz w:val="24"/>
          <w:szCs w:val="24"/>
          <w:rtl w:val="0"/>
          <w:lang w:val="en-US"/>
        </w:rPr>
        <w:t xml:space="preserve">. Ba/F3 (pro-B murine lymphoid cells) were cultivated at the same conditions with the addition of recombinant IL-3 (10 ng/ml, Peprotech). </w:t>
      </w:r>
    </w:p>
    <w:p>
      <w:pPr>
        <w:pStyle w:val="Body"/>
        <w:widowControl w:val="0"/>
        <w:spacing w:after="240" w:line="480" w:lineRule="auto"/>
        <w:jc w:val="both"/>
        <w:rPr>
          <w:rStyle w:val="page number"/>
          <w:rFonts w:ascii="Arial" w:cs="Arial" w:hAnsi="Arial" w:eastAsia="Arial"/>
          <w:sz w:val="24"/>
          <w:szCs w:val="24"/>
          <w:u w:val="single"/>
        </w:rPr>
      </w:pPr>
      <w:r>
        <w:rPr>
          <w:rStyle w:val="page number"/>
          <w:rFonts w:ascii="Arial" w:hAnsi="Arial"/>
          <w:i w:val="1"/>
          <w:iCs w:val="1"/>
          <w:sz w:val="24"/>
          <w:szCs w:val="24"/>
          <w:u w:val="single"/>
          <w:rtl w:val="0"/>
          <w:lang w:val="en-US"/>
        </w:rPr>
        <w:t>Exosome isolation</w:t>
      </w:r>
    </w:p>
    <w:p>
      <w:pPr>
        <w:pStyle w:val="Body"/>
        <w:widowControl w:val="0"/>
        <w:spacing w:after="240" w:line="480" w:lineRule="auto"/>
        <w:jc w:val="both"/>
        <w:rPr>
          <w:rStyle w:val="page number"/>
          <w:rFonts w:ascii="Arial" w:cs="Arial" w:hAnsi="Arial" w:eastAsia="Arial"/>
          <w:sz w:val="24"/>
          <w:szCs w:val="24"/>
        </w:rPr>
      </w:pPr>
      <w:r>
        <w:rPr>
          <w:rStyle w:val="page number"/>
          <w:rFonts w:ascii="Arial" w:hAnsi="Arial"/>
          <w:sz w:val="24"/>
          <w:szCs w:val="24"/>
          <w:rtl w:val="0"/>
          <w:lang w:val="en-US"/>
        </w:rPr>
        <w:t>In order to deplete the medium from the FBS-derived exosomes, RPMI 1640 enriched with 30% FBS was centrifuged overnight at 100,000 g, at 4</w:t>
      </w:r>
      <w:r>
        <w:rPr>
          <w:rStyle w:val="page number"/>
          <w:rFonts w:ascii="Arial" w:hAnsi="Arial" w:hint="default"/>
          <w:sz w:val="24"/>
          <w:szCs w:val="24"/>
          <w:rtl w:val="0"/>
          <w:lang w:val="en-US"/>
        </w:rPr>
        <w:t>°</w:t>
      </w:r>
      <w:r>
        <w:rPr>
          <w:rStyle w:val="page number"/>
          <w:rFonts w:ascii="Arial" w:hAnsi="Arial"/>
          <w:sz w:val="24"/>
          <w:szCs w:val="24"/>
          <w:rtl w:val="0"/>
          <w:lang w:val="en-US"/>
        </w:rPr>
        <w:t xml:space="preserve">C. Afterwards, it was filtered in 0.22 </w:t>
      </w:r>
      <w:r>
        <w:rPr>
          <w:rStyle w:val="page number"/>
          <w:rFonts w:ascii="Arial" w:hAnsi="Arial" w:hint="default"/>
          <w:sz w:val="24"/>
          <w:szCs w:val="24"/>
          <w:rtl w:val="0"/>
        </w:rPr>
        <w:t>μ</w:t>
      </w:r>
      <w:r>
        <w:rPr>
          <w:rStyle w:val="page number"/>
          <w:rFonts w:ascii="Arial" w:hAnsi="Arial"/>
          <w:sz w:val="24"/>
          <w:szCs w:val="24"/>
          <w:rtl w:val="0"/>
          <w:lang w:val="en-US"/>
        </w:rPr>
        <w:t>m disposable filters and diluted to 10% FBS for cell culturing. The ALCL cell lines were cultured in 175 cm</w:t>
      </w:r>
      <w:r>
        <w:rPr>
          <w:rStyle w:val="page number"/>
          <w:rFonts w:ascii="Arial" w:hAnsi="Arial"/>
          <w:position w:val="16"/>
          <w:sz w:val="24"/>
          <w:szCs w:val="24"/>
          <w:rtl w:val="0"/>
          <w:lang w:val="en-US"/>
        </w:rPr>
        <w:t xml:space="preserve">2 </w:t>
      </w:r>
      <w:r>
        <w:rPr>
          <w:rStyle w:val="page number"/>
          <w:rFonts w:ascii="Arial" w:hAnsi="Arial"/>
          <w:sz w:val="24"/>
          <w:szCs w:val="24"/>
          <w:rtl w:val="0"/>
          <w:lang w:val="en-US"/>
        </w:rPr>
        <w:t>flasks at the density of 0.6 x 10</w:t>
      </w:r>
      <w:r>
        <w:rPr>
          <w:rStyle w:val="page number"/>
          <w:rFonts w:ascii="Arial" w:hAnsi="Arial"/>
          <w:sz w:val="24"/>
          <w:szCs w:val="24"/>
          <w:vertAlign w:val="superscript"/>
          <w:rtl w:val="0"/>
          <w:lang w:val="en-US"/>
        </w:rPr>
        <w:t xml:space="preserve">6 </w:t>
      </w:r>
      <w:r>
        <w:rPr>
          <w:rStyle w:val="page number"/>
          <w:rFonts w:ascii="Arial" w:hAnsi="Arial"/>
          <w:sz w:val="24"/>
          <w:szCs w:val="24"/>
          <w:rtl w:val="0"/>
          <w:lang w:val="en-US"/>
        </w:rPr>
        <w:t>cells per ml for 48 to 72 hours. Then, the cells were separated from the supernatants by centrifugation at 100 g, RT and the collected supernatants were filtered in 0.22 disposable filters. The filtered supernatant was centrifuged for 2 hours at 100,000 g, at 4</w:t>
      </w:r>
      <w:r>
        <w:rPr>
          <w:rStyle w:val="page number"/>
          <w:rFonts w:ascii="Arial" w:hAnsi="Arial" w:hint="default"/>
          <w:sz w:val="24"/>
          <w:szCs w:val="24"/>
          <w:rtl w:val="0"/>
          <w:lang w:val="en-US"/>
        </w:rPr>
        <w:t>°</w:t>
      </w:r>
      <w:r>
        <w:rPr>
          <w:rStyle w:val="page number"/>
          <w:rFonts w:ascii="Arial" w:hAnsi="Arial"/>
          <w:sz w:val="24"/>
          <w:szCs w:val="24"/>
          <w:rtl w:val="0"/>
          <w:lang w:val="en-US"/>
        </w:rPr>
        <w:t>C. The supernatant was discarded and the pellet was washed with PBS and centrifuged for 2 hours at 120,000 g, at 4</w:t>
      </w:r>
      <w:r>
        <w:rPr>
          <w:rStyle w:val="page number"/>
          <w:rFonts w:ascii="Arial" w:hAnsi="Arial" w:hint="default"/>
          <w:sz w:val="24"/>
          <w:szCs w:val="24"/>
          <w:rtl w:val="0"/>
          <w:lang w:val="en-US"/>
        </w:rPr>
        <w:t>°</w:t>
      </w:r>
      <w:r>
        <w:rPr>
          <w:rStyle w:val="page number"/>
          <w:rFonts w:ascii="Arial" w:hAnsi="Arial"/>
          <w:sz w:val="24"/>
          <w:szCs w:val="24"/>
          <w:rtl w:val="0"/>
          <w:lang w:val="en-US"/>
        </w:rPr>
        <w:t>C. The pellet was resuspended in PBS and stored in aliquots at -80</w:t>
      </w:r>
      <w:r>
        <w:rPr>
          <w:rStyle w:val="page number"/>
          <w:rFonts w:ascii="Arial" w:hAnsi="Arial" w:hint="default"/>
          <w:sz w:val="24"/>
          <w:szCs w:val="24"/>
          <w:rtl w:val="0"/>
          <w:lang w:val="en-US"/>
        </w:rPr>
        <w:t>°</w:t>
      </w:r>
      <w:r>
        <w:rPr>
          <w:rStyle w:val="page number"/>
          <w:rFonts w:ascii="Arial" w:hAnsi="Arial"/>
          <w:sz w:val="24"/>
          <w:szCs w:val="24"/>
          <w:rtl w:val="0"/>
          <w:lang w:val="en-US"/>
        </w:rPr>
        <w:t>C.</w:t>
      </w:r>
    </w:p>
    <w:p>
      <w:pPr>
        <w:pStyle w:val="Body"/>
        <w:widowControl w:val="0"/>
        <w:spacing w:after="240" w:line="480" w:lineRule="auto"/>
        <w:jc w:val="both"/>
        <w:rPr>
          <w:rStyle w:val="page number"/>
          <w:rFonts w:ascii="Arial" w:cs="Arial" w:hAnsi="Arial" w:eastAsia="Arial"/>
          <w:i w:val="1"/>
          <w:iCs w:val="1"/>
          <w:sz w:val="24"/>
          <w:szCs w:val="24"/>
          <w:u w:val="single"/>
        </w:rPr>
      </w:pPr>
      <w:r>
        <w:rPr>
          <w:rStyle w:val="page number"/>
          <w:rFonts w:ascii="Arial" w:hAnsi="Arial"/>
          <w:i w:val="1"/>
          <w:iCs w:val="1"/>
          <w:sz w:val="24"/>
          <w:szCs w:val="24"/>
          <w:u w:val="single"/>
          <w:rtl w:val="0"/>
          <w:lang w:val="en-US"/>
        </w:rPr>
        <w:t>Nanoparticle tracking analysis (NTA)</w:t>
      </w:r>
    </w:p>
    <w:p>
      <w:pPr>
        <w:pStyle w:val="Body"/>
        <w:widowControl w:val="0"/>
        <w:spacing w:after="240" w:line="480" w:lineRule="auto"/>
        <w:jc w:val="both"/>
        <w:rPr>
          <w:rStyle w:val="page number"/>
          <w:rFonts w:ascii="Arial" w:cs="Arial" w:hAnsi="Arial" w:eastAsia="Arial"/>
          <w:i w:val="1"/>
          <w:iCs w:val="1"/>
          <w:sz w:val="24"/>
          <w:szCs w:val="24"/>
        </w:rPr>
      </w:pPr>
      <w:r>
        <w:rPr>
          <w:rStyle w:val="page number"/>
          <w:rFonts w:ascii="Arial" w:hAnsi="Arial"/>
          <w:sz w:val="24"/>
          <w:szCs w:val="24"/>
          <w:rtl w:val="0"/>
          <w:lang w:val="en-US"/>
        </w:rPr>
        <w:t>Nanoparticle tracking analysis (NTA) was performed to determine the size and particle number of the exosomal preparation using the LM10 (NanoSight Limited, London, UK) equipped with an 8 mega pixel camera (Andor Technology, Tokyo, Japan). A 405 nm laser was used for the detection of the exosomes and the NTA software for data acquisition and analysis. Five different videos were used for capturing for 60 seconds and the videos were analyzed with camera level set at 14 and detection threshold of 15.</w:t>
      </w:r>
    </w:p>
    <w:p>
      <w:pPr>
        <w:pStyle w:val="Body"/>
        <w:widowControl w:val="0"/>
        <w:spacing w:after="240" w:line="480" w:lineRule="auto"/>
        <w:jc w:val="both"/>
        <w:rPr>
          <w:rStyle w:val="page number"/>
          <w:rFonts w:ascii="Arial" w:cs="Arial" w:hAnsi="Arial" w:eastAsia="Arial"/>
          <w:i w:val="1"/>
          <w:iCs w:val="1"/>
          <w:sz w:val="24"/>
          <w:szCs w:val="24"/>
          <w:u w:val="single"/>
        </w:rPr>
      </w:pPr>
      <w:r>
        <w:rPr>
          <w:rStyle w:val="page number"/>
          <w:rFonts w:ascii="Arial" w:hAnsi="Arial"/>
          <w:i w:val="1"/>
          <w:iCs w:val="1"/>
          <w:sz w:val="24"/>
          <w:szCs w:val="24"/>
          <w:u w:val="single"/>
          <w:rtl w:val="0"/>
          <w:lang w:val="en-US"/>
        </w:rPr>
        <w:t>Western blot analysis</w:t>
      </w:r>
    </w:p>
    <w:p>
      <w:pPr>
        <w:pStyle w:val="Body"/>
        <w:widowControl w:val="0"/>
        <w:spacing w:after="240" w:line="480" w:lineRule="auto"/>
        <w:jc w:val="both"/>
        <w:rPr>
          <w:rStyle w:val="page number"/>
          <w:rFonts w:ascii="Arial" w:cs="Arial" w:hAnsi="Arial" w:eastAsia="Arial"/>
          <w:sz w:val="24"/>
          <w:szCs w:val="24"/>
        </w:rPr>
      </w:pPr>
      <w:r>
        <w:rPr>
          <w:rStyle w:val="page number"/>
          <w:rFonts w:ascii="Arial" w:hAnsi="Arial"/>
          <w:sz w:val="24"/>
          <w:szCs w:val="24"/>
          <w:rtl w:val="0"/>
          <w:lang w:val="en-US"/>
        </w:rPr>
        <w:t xml:space="preserve">The cell pellets and exosomes were lysed in RIPA lysis buffer (10 mM Tris, pH 7.2, 150 mM NaCl, 1% deoxycholate, 1% Triton, 0.1% SDS, 5 mM EDTA) containing complete protease inhibitor cocktail, phospho- stop (Roche Diagnostics, Meylan, France), dithiothreitol (Sigma Aldrich, St. Louis, MO, USA) and vanadate (Life technologies, Carlsbad, CA, USA). Equal amounts of soluble protein were loaded in precast SDS-PAGE gels (Life technologies, Carlsbad, CA, USA) and transferred to PVDF membranes for probing with specific primary antibodies and subsequently with horseradish peroxidase-conjugated secondary antibody. Detection of the protein bands was achieved using chemiluminescence (Life technologies, Carlsbad, CA, USA) and exposure on X-ray films (Kodak Rochester, NY, USA). </w:t>
      </w:r>
    </w:p>
    <w:p>
      <w:pPr>
        <w:pStyle w:val="Body"/>
        <w:widowControl w:val="0"/>
        <w:spacing w:after="240" w:line="480" w:lineRule="auto"/>
        <w:jc w:val="both"/>
        <w:rPr>
          <w:rStyle w:val="page number"/>
          <w:rFonts w:ascii="Arial" w:cs="Arial" w:hAnsi="Arial" w:eastAsia="Arial"/>
          <w:i w:val="1"/>
          <w:iCs w:val="1"/>
          <w:sz w:val="24"/>
          <w:szCs w:val="24"/>
          <w:u w:val="single"/>
        </w:rPr>
      </w:pPr>
      <w:r>
        <w:rPr>
          <w:rStyle w:val="page number"/>
          <w:rFonts w:ascii="Arial" w:hAnsi="Arial"/>
          <w:i w:val="1"/>
          <w:iCs w:val="1"/>
          <w:sz w:val="24"/>
          <w:szCs w:val="24"/>
          <w:u w:val="single"/>
          <w:rtl w:val="0"/>
          <w:lang w:val="en-US"/>
        </w:rPr>
        <w:t>DiR labelling</w:t>
      </w:r>
    </w:p>
    <w:p>
      <w:pPr>
        <w:pStyle w:val="Body"/>
        <w:widowControl w:val="0"/>
        <w:spacing w:after="240" w:line="480" w:lineRule="auto"/>
        <w:jc w:val="both"/>
        <w:rPr>
          <w:rStyle w:val="page number"/>
          <w:rFonts w:ascii="Arial" w:cs="Arial" w:hAnsi="Arial" w:eastAsia="Arial"/>
          <w:sz w:val="24"/>
          <w:szCs w:val="24"/>
        </w:rPr>
      </w:pPr>
      <w:r>
        <w:rPr>
          <w:rStyle w:val="page number"/>
          <w:rFonts w:ascii="Arial" w:hAnsi="Arial"/>
          <w:sz w:val="24"/>
          <w:szCs w:val="24"/>
          <w:rtl w:val="0"/>
          <w:lang w:val="en-US"/>
        </w:rPr>
        <w:t>The exosomes were labelled with DiR fluorescent dye as previously described. Briefly, 0.5 mM fluorescent lipophilic tracer DiR was added to the cells</w:t>
      </w:r>
      <w:r>
        <w:rPr>
          <w:rStyle w:val="page number"/>
          <w:rFonts w:ascii="Arial" w:hAnsi="Arial" w:hint="default"/>
          <w:sz w:val="24"/>
          <w:szCs w:val="24"/>
          <w:rtl w:val="0"/>
          <w:lang w:val="en-US"/>
        </w:rPr>
        <w:t xml:space="preserve">’ </w:t>
      </w:r>
      <w:r>
        <w:rPr>
          <w:rStyle w:val="page number"/>
          <w:rFonts w:ascii="Arial" w:hAnsi="Arial"/>
          <w:sz w:val="24"/>
          <w:szCs w:val="24"/>
          <w:rtl w:val="0"/>
          <w:lang w:val="en-US"/>
        </w:rPr>
        <w:t>supernatant and incubated for 15 minutes at room temperature before centrifugation as mentioned above. After centrifugation the supernatant was kept and used as control for the relevant experiments.</w:t>
      </w:r>
    </w:p>
    <w:p>
      <w:pPr>
        <w:pStyle w:val="Body"/>
        <w:widowControl w:val="0"/>
        <w:spacing w:after="240" w:line="480" w:lineRule="auto"/>
        <w:jc w:val="both"/>
        <w:rPr>
          <w:rFonts w:ascii="Arial" w:cs="Arial" w:hAnsi="Arial" w:eastAsia="Arial"/>
          <w:i w:val="1"/>
          <w:iCs w:val="1"/>
          <w:sz w:val="24"/>
          <w:szCs w:val="24"/>
        </w:rPr>
      </w:pPr>
    </w:p>
    <w:p>
      <w:pPr>
        <w:pStyle w:val="Body"/>
        <w:widowControl w:val="0"/>
        <w:spacing w:after="240" w:line="480" w:lineRule="auto"/>
        <w:jc w:val="both"/>
        <w:rPr>
          <w:rStyle w:val="page number"/>
          <w:rFonts w:ascii="Arial" w:cs="Arial" w:hAnsi="Arial" w:eastAsia="Arial"/>
          <w:i w:val="1"/>
          <w:iCs w:val="1"/>
          <w:sz w:val="24"/>
          <w:szCs w:val="24"/>
          <w:u w:val="single"/>
        </w:rPr>
      </w:pPr>
      <w:r>
        <w:rPr>
          <w:rStyle w:val="page number"/>
          <w:rFonts w:ascii="Arial" w:hAnsi="Arial"/>
          <w:i w:val="1"/>
          <w:iCs w:val="1"/>
          <w:sz w:val="24"/>
          <w:szCs w:val="24"/>
          <w:u w:val="single"/>
          <w:rtl w:val="0"/>
          <w:lang w:val="en-US"/>
        </w:rPr>
        <w:t>Exosome uptake assays</w:t>
      </w:r>
    </w:p>
    <w:p>
      <w:pPr>
        <w:pStyle w:val="Body"/>
        <w:widowControl w:val="0"/>
        <w:spacing w:after="240" w:line="480" w:lineRule="auto"/>
        <w:jc w:val="both"/>
        <w:rPr>
          <w:rStyle w:val="page number"/>
          <w:rFonts w:ascii="Arial" w:cs="Arial" w:hAnsi="Arial" w:eastAsia="Arial"/>
          <w:sz w:val="24"/>
          <w:szCs w:val="24"/>
        </w:rPr>
      </w:pPr>
      <w:r>
        <w:rPr>
          <w:rStyle w:val="page number"/>
          <w:rFonts w:ascii="Arial" w:hAnsi="Arial"/>
          <w:sz w:val="24"/>
          <w:szCs w:val="24"/>
          <w:rtl w:val="0"/>
          <w:lang w:val="en-US"/>
        </w:rPr>
        <w:t>For the uptake assays, the amounts of exosomes used were determined by the Pierce BCA protein assay (Life technologies, Carlsbad, CA, USA). The cells were plated in 24-well plates in serum free medium overnight before the addition of the exosomes. The positive population was recorded by flow cytometry (FACS LSRII, BD, Franklin Lakes, NJ, USA) and the analysis was performed with the FACS DIVA software (BD, Franklin Lakes, NJ, USA). For imaging the cells were grown on coverslips (adherent cells) or cytospin, fixed in 4% PFA and mounted in mounting medium with DAPI (VECTOR LABORATORIES, Burlingame, CA, USA). Images were captured at a Leica confocal microscope.</w:t>
      </w:r>
    </w:p>
    <w:p>
      <w:pPr>
        <w:pStyle w:val="Body"/>
        <w:widowControl w:val="0"/>
        <w:spacing w:after="240" w:line="480" w:lineRule="auto"/>
        <w:jc w:val="both"/>
        <w:rPr>
          <w:rStyle w:val="page number"/>
          <w:rFonts w:ascii="Arial" w:cs="Arial" w:hAnsi="Arial" w:eastAsia="Arial"/>
          <w:i w:val="1"/>
          <w:iCs w:val="1"/>
          <w:sz w:val="24"/>
          <w:szCs w:val="24"/>
          <w:u w:val="single"/>
        </w:rPr>
      </w:pPr>
      <w:r>
        <w:rPr>
          <w:rStyle w:val="page number"/>
          <w:rFonts w:ascii="Arial" w:hAnsi="Arial"/>
          <w:i w:val="1"/>
          <w:iCs w:val="1"/>
          <w:sz w:val="24"/>
          <w:szCs w:val="24"/>
          <w:u w:val="single"/>
          <w:rtl w:val="0"/>
          <w:lang w:val="en-US"/>
        </w:rPr>
        <w:t>Cytokine array</w:t>
      </w:r>
    </w:p>
    <w:p>
      <w:pPr>
        <w:pStyle w:val="Body"/>
        <w:widowControl w:val="0"/>
        <w:spacing w:after="240" w:line="480" w:lineRule="auto"/>
        <w:jc w:val="both"/>
        <w:rPr>
          <w:rStyle w:val="page number"/>
          <w:rFonts w:ascii="Arial" w:cs="Arial" w:hAnsi="Arial" w:eastAsia="Arial"/>
          <w:sz w:val="24"/>
          <w:szCs w:val="24"/>
        </w:rPr>
      </w:pPr>
      <w:r>
        <w:rPr>
          <w:rStyle w:val="page number"/>
          <w:rFonts w:ascii="Arial" w:hAnsi="Arial"/>
          <w:sz w:val="24"/>
          <w:szCs w:val="24"/>
          <w:rtl w:val="0"/>
          <w:lang w:val="en-US"/>
        </w:rPr>
        <w:t>The Human Cytokine Array Kit (R&amp;D Systems, Minneapolis, MN, USA) was used according to the manufacturer</w:t>
      </w:r>
      <w:r>
        <w:rPr>
          <w:rStyle w:val="page number"/>
          <w:rFonts w:ascii="Arial" w:hAnsi="Arial" w:hint="default"/>
          <w:sz w:val="24"/>
          <w:szCs w:val="24"/>
          <w:rtl w:val="0"/>
          <w:lang w:val="en-US"/>
        </w:rPr>
        <w:t>’</w:t>
      </w:r>
      <w:r>
        <w:rPr>
          <w:rStyle w:val="page number"/>
          <w:rFonts w:ascii="Arial" w:hAnsi="Arial"/>
          <w:sz w:val="24"/>
          <w:szCs w:val="24"/>
          <w:rtl w:val="0"/>
          <w:lang w:val="en-US"/>
        </w:rPr>
        <w:t>s instructions. The exposure was performed on X-ray films (Kodak, Rochester, NY, USA). The band density was quantified with the ImageJ software (NIH, Bethesda, MD, USA). The mean values of the duplicates were subtracted by the negative control and normalized with the positive control. The analysis and depiction was performed by Excel software (Microsoft, Redmond, WA, USA).</w:t>
      </w:r>
    </w:p>
    <w:p>
      <w:pPr>
        <w:pStyle w:val="Body"/>
        <w:widowControl w:val="0"/>
        <w:spacing w:after="240" w:line="480" w:lineRule="auto"/>
        <w:jc w:val="both"/>
        <w:rPr>
          <w:rStyle w:val="page number"/>
          <w:rFonts w:ascii="Arial" w:cs="Arial" w:hAnsi="Arial" w:eastAsia="Arial"/>
          <w:i w:val="1"/>
          <w:iCs w:val="1"/>
          <w:sz w:val="24"/>
          <w:szCs w:val="24"/>
          <w:u w:val="single"/>
        </w:rPr>
      </w:pPr>
      <w:r>
        <w:rPr>
          <w:rStyle w:val="page number"/>
          <w:rFonts w:ascii="Arial" w:hAnsi="Arial"/>
          <w:i w:val="1"/>
          <w:iCs w:val="1"/>
          <w:sz w:val="24"/>
          <w:szCs w:val="24"/>
          <w:u w:val="single"/>
          <w:rtl w:val="0"/>
          <w:lang w:val="en-US"/>
        </w:rPr>
        <w:t>Cell Proliferation assays</w:t>
      </w:r>
    </w:p>
    <w:p>
      <w:pPr>
        <w:pStyle w:val="Body"/>
        <w:widowControl w:val="0"/>
        <w:spacing w:after="240" w:line="480" w:lineRule="auto"/>
        <w:jc w:val="both"/>
        <w:rPr>
          <w:rStyle w:val="page number"/>
          <w:rFonts w:ascii="Arial" w:cs="Arial" w:hAnsi="Arial" w:eastAsia="Arial"/>
          <w:sz w:val="24"/>
          <w:szCs w:val="24"/>
        </w:rPr>
      </w:pPr>
      <w:r>
        <w:rPr>
          <w:rStyle w:val="page number"/>
          <w:rFonts w:ascii="Arial" w:hAnsi="Arial"/>
          <w:sz w:val="24"/>
          <w:szCs w:val="24"/>
          <w:rtl w:val="0"/>
          <w:lang w:val="en-US"/>
        </w:rPr>
        <w:t xml:space="preserve">For the proliferation assays BaF3 cells were cultivated in serum- and IL-3- free RPMI 1640-medium for 24h. The cells were plated in 96- well- plates in a volume of 100 </w:t>
      </w:r>
      <w:r>
        <w:rPr>
          <w:rStyle w:val="page number"/>
          <w:rFonts w:ascii="Arial" w:hAnsi="Arial" w:hint="default"/>
          <w:sz w:val="24"/>
          <w:szCs w:val="24"/>
          <w:rtl w:val="0"/>
          <w:lang w:val="en-US"/>
        </w:rPr>
        <w:t>µ</w:t>
      </w:r>
      <w:r>
        <w:rPr>
          <w:rStyle w:val="page number"/>
          <w:rFonts w:ascii="Arial" w:hAnsi="Arial"/>
          <w:sz w:val="24"/>
          <w:szCs w:val="24"/>
          <w:rtl w:val="0"/>
          <w:lang w:val="en-US"/>
        </w:rPr>
        <w:t xml:space="preserve">l/ well. PBS, IL-3 (10 ng/ml, Peprotech) and Sup-M2- exosomes were added. After 48 h incubation, 20 </w:t>
      </w:r>
      <w:r>
        <w:rPr>
          <w:rStyle w:val="page number"/>
          <w:rFonts w:ascii="Arial" w:hAnsi="Arial" w:hint="default"/>
          <w:sz w:val="24"/>
          <w:szCs w:val="24"/>
          <w:rtl w:val="0"/>
          <w:lang w:val="en-US"/>
        </w:rPr>
        <w:t>µ</w:t>
      </w:r>
      <w:r>
        <w:rPr>
          <w:rStyle w:val="page number"/>
          <w:rFonts w:ascii="Arial" w:hAnsi="Arial"/>
          <w:sz w:val="24"/>
          <w:szCs w:val="24"/>
          <w:rtl w:val="0"/>
          <w:lang w:val="en-US"/>
        </w:rPr>
        <w:t>l CellTiter-Blue</w:t>
      </w:r>
      <w:r>
        <w:rPr>
          <w:rStyle w:val="page number"/>
          <w:rFonts w:ascii="Arial" w:hAnsi="Arial" w:hint="default"/>
          <w:sz w:val="24"/>
          <w:szCs w:val="24"/>
          <w:rtl w:val="0"/>
          <w:lang w:val="en-US"/>
        </w:rPr>
        <w:t xml:space="preserve">® </w:t>
      </w:r>
      <w:r>
        <w:rPr>
          <w:rStyle w:val="page number"/>
          <w:rFonts w:ascii="Arial" w:hAnsi="Arial"/>
          <w:sz w:val="24"/>
          <w:szCs w:val="24"/>
          <w:rtl w:val="0"/>
          <w:lang w:val="en-US"/>
        </w:rPr>
        <w:t>Reagent (Promega, Madison, WI, USA) were supplemented. Fluorescence was measured at a wavelength of 560/ 590</w:t>
      </w:r>
      <w:r>
        <w:rPr>
          <w:rStyle w:val="page number"/>
          <w:rFonts w:ascii="Arial" w:hAnsi="Arial" w:hint="default"/>
          <w:sz w:val="24"/>
          <w:szCs w:val="24"/>
          <w:rtl w:val="0"/>
          <w:lang w:val="en-US"/>
        </w:rPr>
        <w:t> </w:t>
      </w:r>
      <w:r>
        <w:rPr>
          <w:rStyle w:val="page number"/>
          <w:rFonts w:ascii="Arial" w:hAnsi="Arial"/>
          <w:sz w:val="24"/>
          <w:szCs w:val="24"/>
          <w:rtl w:val="0"/>
          <w:lang w:val="en-US"/>
        </w:rPr>
        <w:t>nm with a Tecan Sparks 10M (Tecan Group Ltd., M</w:t>
      </w:r>
      <w:r>
        <w:rPr>
          <w:rStyle w:val="page number"/>
          <w:rFonts w:ascii="Arial" w:hAnsi="Arial" w:hint="default"/>
          <w:sz w:val="24"/>
          <w:szCs w:val="24"/>
          <w:rtl w:val="0"/>
          <w:lang w:val="en-US"/>
        </w:rPr>
        <w:t>ä</w:t>
      </w:r>
      <w:r>
        <w:rPr>
          <w:rStyle w:val="page number"/>
          <w:rFonts w:ascii="Arial" w:hAnsi="Arial"/>
          <w:sz w:val="24"/>
          <w:szCs w:val="24"/>
          <w:rtl w:val="0"/>
          <w:lang w:val="en-US"/>
        </w:rPr>
        <w:t>nnedorf, Switzerland) after 2h, 4h, 8h, 16h and 24h incubation. The analysis was carried out with Excel software (Microsoft, Redmond, WA, USA).</w:t>
      </w:r>
    </w:p>
    <w:p>
      <w:pPr>
        <w:pStyle w:val="Body"/>
        <w:spacing w:line="480" w:lineRule="auto"/>
        <w:jc w:val="both"/>
        <w:rPr>
          <w:rStyle w:val="page number"/>
          <w:rFonts w:ascii="Arial" w:cs="Arial" w:hAnsi="Arial" w:eastAsia="Arial"/>
          <w:i w:val="1"/>
          <w:iCs w:val="1"/>
          <w:sz w:val="24"/>
          <w:szCs w:val="24"/>
          <w:u w:val="single"/>
        </w:rPr>
      </w:pPr>
      <w:r>
        <w:rPr>
          <w:rStyle w:val="page number"/>
          <w:rFonts w:ascii="Arial" w:hAnsi="Arial"/>
          <w:i w:val="1"/>
          <w:iCs w:val="1"/>
          <w:sz w:val="24"/>
          <w:szCs w:val="24"/>
          <w:u w:val="single"/>
          <w:rtl w:val="0"/>
          <w:lang w:val="en-US"/>
        </w:rPr>
        <w:t xml:space="preserve">Electron microscopy </w:t>
      </w:r>
    </w:p>
    <w:p>
      <w:pPr>
        <w:pStyle w:val="Body"/>
        <w:spacing w:line="480" w:lineRule="auto"/>
        <w:jc w:val="both"/>
        <w:rPr>
          <w:rStyle w:val="page number"/>
          <w:rFonts w:ascii="Arial" w:cs="Arial" w:hAnsi="Arial" w:eastAsia="Arial"/>
          <w:sz w:val="24"/>
          <w:szCs w:val="24"/>
        </w:rPr>
      </w:pPr>
      <w:r>
        <w:rPr>
          <w:rStyle w:val="page number"/>
          <w:rFonts w:ascii="Arial" w:hAnsi="Arial"/>
          <w:sz w:val="24"/>
          <w:szCs w:val="24"/>
          <w:rtl w:val="0"/>
          <w:lang w:val="en-US"/>
        </w:rPr>
        <w:t>For immunogold labeling for electron microscopy, exosomes were prepared and labeled according to the protocol of Thery et al</w:t>
      </w:r>
      <w:r>
        <w:rPr>
          <w:rStyle w:val="page number"/>
          <w:rFonts w:ascii="Arial" w:hAnsi="Arial"/>
          <w:sz w:val="24"/>
          <w:szCs w:val="24"/>
          <w:u w:color="ff0000"/>
          <w:rtl w:val="0"/>
          <w:lang w:val="en-US"/>
        </w:rPr>
        <w:t xml:space="preserve"> (1)</w:t>
      </w:r>
      <w:r>
        <w:rPr>
          <w:rStyle w:val="page number"/>
          <w:rFonts w:ascii="Arial" w:hAnsi="Arial"/>
          <w:sz w:val="24"/>
          <w:szCs w:val="24"/>
          <w:rtl w:val="0"/>
          <w:lang w:val="en-US"/>
        </w:rPr>
        <w:t xml:space="preserve"> In brief, isolated exosomes were resuspended in 2% paraformaldehyde (PFA), adsorbed unto nickel Formvar-carbon coated electron microscopy grids (200 mesh), blocked with PBS/5% (w/v) BSA and incubated with CD30 antibody (DAKO, A/S, Denmark) for 30 min. Subsequently grids were washed, blocked and incubated with Donkey Anti-Mouse IgG H&amp;L 10nm Gold antibody (Abcam, Cambridge, United Kingdom). Grids were washed, fixed with 1% glutaraldehyde, contrasted with 4% uranyl acetate and finally embedded in a mixture of 4% uranyl acetate and 2% methyl cellulose. Grids were visualized on a Morgagni 268 Electron Microscope (FEI, Eindhoven, The Netherlands) and photographed with the Morada Soft Imaging System (Olympus Corporation, Hamburg, Germany).</w:t>
      </w:r>
    </w:p>
    <w:p>
      <w:pPr>
        <w:pStyle w:val="Body"/>
        <w:spacing w:line="480" w:lineRule="auto"/>
        <w:jc w:val="both"/>
        <w:rPr>
          <w:rStyle w:val="page number"/>
          <w:rFonts w:ascii="Arial" w:cs="Arial" w:hAnsi="Arial" w:eastAsia="Arial"/>
          <w:i w:val="1"/>
          <w:iCs w:val="1"/>
          <w:sz w:val="24"/>
          <w:szCs w:val="24"/>
          <w:u w:val="single"/>
        </w:rPr>
      </w:pPr>
      <w:r>
        <w:rPr>
          <w:rStyle w:val="page number"/>
          <w:rFonts w:ascii="Arial" w:hAnsi="Arial"/>
          <w:i w:val="1"/>
          <w:iCs w:val="1"/>
          <w:sz w:val="24"/>
          <w:szCs w:val="24"/>
          <w:u w:val="single"/>
          <w:rtl w:val="0"/>
          <w:lang w:val="en-US"/>
        </w:rPr>
        <w:t xml:space="preserve">Molecular cloning of NPM1-ALK full length fusion </w:t>
      </w:r>
    </w:p>
    <w:p>
      <w:pPr>
        <w:pStyle w:val="Body"/>
        <w:spacing w:line="480" w:lineRule="auto"/>
        <w:jc w:val="both"/>
      </w:pPr>
      <w:r>
        <w:rPr>
          <w:rStyle w:val="page number"/>
          <w:rFonts w:ascii="Arial" w:hAnsi="Arial"/>
          <w:sz w:val="24"/>
          <w:szCs w:val="24"/>
          <w:rtl w:val="0"/>
          <w:lang w:val="en-US"/>
        </w:rPr>
        <w:t xml:space="preserve">The full-length cDNA sequences (2043 bp) of </w:t>
      </w:r>
      <w:r>
        <w:rPr>
          <w:rStyle w:val="page number"/>
          <w:rFonts w:ascii="Arial" w:hAnsi="Arial"/>
          <w:i w:val="1"/>
          <w:iCs w:val="1"/>
          <w:sz w:val="24"/>
          <w:szCs w:val="24"/>
          <w:rtl w:val="0"/>
        </w:rPr>
        <w:t xml:space="preserve">NPM1-ALK </w:t>
      </w:r>
      <w:r>
        <w:rPr>
          <w:rStyle w:val="page number"/>
          <w:rFonts w:ascii="Arial" w:hAnsi="Arial"/>
          <w:sz w:val="24"/>
          <w:szCs w:val="24"/>
          <w:rtl w:val="0"/>
          <w:lang w:val="en-US"/>
        </w:rPr>
        <w:t xml:space="preserve">was amplified from a previously cloned </w:t>
      </w:r>
      <w:r>
        <w:rPr>
          <w:rStyle w:val="page number"/>
          <w:rFonts w:ascii="Arial" w:hAnsi="Arial"/>
          <w:sz w:val="24"/>
          <w:szCs w:val="24"/>
          <w:rtl w:val="0"/>
          <w:lang w:val="en-US"/>
        </w:rPr>
        <w:t xml:space="preserve">pcDNA-DEST40 Gateway vector (Invitrogen) </w:t>
      </w:r>
      <w:r>
        <w:rPr>
          <w:rStyle w:val="page number"/>
          <w:rFonts w:ascii="Arial" w:hAnsi="Arial"/>
          <w:sz w:val="24"/>
          <w:szCs w:val="24"/>
          <w:rtl w:val="0"/>
          <w:lang w:val="en-US"/>
        </w:rPr>
        <w:t xml:space="preserve">containing the cDNA sequence of </w:t>
      </w:r>
      <w:r>
        <w:rPr>
          <w:rStyle w:val="page number"/>
          <w:rFonts w:ascii="Arial" w:hAnsi="Arial"/>
          <w:i w:val="1"/>
          <w:iCs w:val="1"/>
          <w:sz w:val="24"/>
          <w:szCs w:val="24"/>
          <w:rtl w:val="0"/>
        </w:rPr>
        <w:t>NPM1-ALK</w:t>
      </w:r>
      <w:r>
        <w:rPr>
          <w:rStyle w:val="page number"/>
          <w:rFonts w:ascii="Arial" w:hAnsi="Arial"/>
          <w:sz w:val="24"/>
          <w:szCs w:val="24"/>
          <w:rtl w:val="0"/>
          <w:lang w:val="en-US"/>
        </w:rPr>
        <w:t>, using the primers: forward, 5</w:t>
      </w:r>
      <w:r>
        <w:rPr>
          <w:rStyle w:val="page number"/>
          <w:rFonts w:ascii="Arial" w:hAnsi="Arial" w:hint="default"/>
          <w:sz w:val="24"/>
          <w:szCs w:val="24"/>
          <w:rtl w:val="0"/>
          <w:lang w:val="sv-SE"/>
        </w:rPr>
        <w:t>’ –</w:t>
      </w:r>
      <w:r>
        <w:rPr>
          <w:rStyle w:val="page number"/>
          <w:rFonts w:ascii="Arial" w:hAnsi="Arial"/>
          <w:sz w:val="24"/>
          <w:szCs w:val="24"/>
          <w:u w:val="single"/>
          <w:rtl w:val="0"/>
          <w:lang w:val="fr-FR"/>
        </w:rPr>
        <w:t xml:space="preserve"> CGCGGTATAGCGGCCGCC</w:t>
      </w:r>
      <w:r>
        <w:rPr>
          <w:rStyle w:val="page number"/>
          <w:rFonts w:ascii="Arial" w:hAnsi="Arial"/>
          <w:sz w:val="24"/>
          <w:szCs w:val="24"/>
          <w:rtl w:val="0"/>
          <w:lang w:val="pt-PT"/>
        </w:rPr>
        <w:t>ATGGAAGATTCGATGGACATGGACA - 3</w:t>
      </w:r>
      <w:r>
        <w:rPr>
          <w:rStyle w:val="page number"/>
          <w:rFonts w:ascii="Arial" w:hAnsi="Arial" w:hint="default"/>
          <w:sz w:val="24"/>
          <w:szCs w:val="24"/>
          <w:rtl w:val="0"/>
          <w:lang w:val="sv-SE"/>
        </w:rPr>
        <w:t>’</w:t>
      </w:r>
      <w:r>
        <w:rPr>
          <w:rStyle w:val="page number"/>
          <w:rFonts w:ascii="Arial" w:hAnsi="Arial"/>
          <w:sz w:val="24"/>
          <w:szCs w:val="24"/>
          <w:rtl w:val="0"/>
          <w:lang w:val="en-US"/>
        </w:rPr>
        <w:t>; reverse, 5</w:t>
      </w:r>
      <w:r>
        <w:rPr>
          <w:rStyle w:val="page number"/>
          <w:rFonts w:ascii="Arial" w:hAnsi="Arial" w:hint="default"/>
          <w:sz w:val="24"/>
          <w:szCs w:val="24"/>
          <w:rtl w:val="0"/>
          <w:lang w:val="sv-SE"/>
        </w:rPr>
        <w:t xml:space="preserve">’ </w:t>
      </w:r>
      <w:r>
        <w:rPr>
          <w:rStyle w:val="page number"/>
          <w:rFonts w:ascii="Arial" w:hAnsi="Arial"/>
          <w:sz w:val="24"/>
          <w:szCs w:val="24"/>
          <w:rtl w:val="0"/>
          <w:lang w:val="ru-RU"/>
        </w:rPr>
        <w:t xml:space="preserve">- </w:t>
      </w:r>
      <w:r>
        <w:rPr>
          <w:rStyle w:val="page number"/>
          <w:rFonts w:ascii="Arial" w:hAnsi="Arial"/>
          <w:sz w:val="24"/>
          <w:szCs w:val="24"/>
          <w:u w:val="single"/>
          <w:rtl w:val="0"/>
          <w:lang w:val="fr-FR"/>
        </w:rPr>
        <w:t>GAGAGGGGCGGAATTC</w:t>
      </w:r>
      <w:r>
        <w:rPr>
          <w:rStyle w:val="page number"/>
          <w:rFonts w:ascii="Arial" w:hAnsi="Arial"/>
          <w:sz w:val="24"/>
          <w:szCs w:val="24"/>
          <w:rtl w:val="0"/>
          <w:lang w:val="pt-PT"/>
        </w:rPr>
        <w:t>TCAGGGCCCAGGCTGGTTCAT - 3</w:t>
      </w:r>
      <w:r>
        <w:rPr>
          <w:rStyle w:val="page number"/>
          <w:rFonts w:ascii="Arial" w:hAnsi="Arial" w:hint="default"/>
          <w:sz w:val="24"/>
          <w:szCs w:val="24"/>
          <w:rtl w:val="0"/>
          <w:lang w:val="sv-SE"/>
        </w:rPr>
        <w:t>’</w:t>
      </w:r>
      <w:r>
        <w:rPr>
          <w:rStyle w:val="page number"/>
          <w:rFonts w:ascii="Arial" w:hAnsi="Arial"/>
          <w:sz w:val="24"/>
          <w:szCs w:val="24"/>
          <w:rtl w:val="0"/>
          <w:lang w:val="en-US"/>
        </w:rPr>
        <w:t>. The PCR fragments were purified using QIAquick PCR Purification Kit (Qiagen) and then cloned into the MSCV-IRES-GFP mammalian expressing retroviral vector (St. Jude Children</w:t>
      </w:r>
      <w:r>
        <w:rPr>
          <w:rStyle w:val="page number"/>
          <w:rFonts w:ascii="Arial" w:hAnsi="Arial" w:hint="default"/>
          <w:sz w:val="24"/>
          <w:szCs w:val="24"/>
          <w:rtl w:val="0"/>
          <w:lang w:val="sv-SE"/>
        </w:rPr>
        <w:t>’</w:t>
      </w:r>
      <w:r>
        <w:rPr>
          <w:rStyle w:val="page number"/>
          <w:rFonts w:ascii="Arial" w:hAnsi="Arial"/>
          <w:sz w:val="24"/>
          <w:szCs w:val="24"/>
          <w:rtl w:val="0"/>
          <w:lang w:val="en-US"/>
        </w:rPr>
        <w:t xml:space="preserve">s Research Hospital Vector Core, TN, USA) between </w:t>
      </w:r>
      <w:r>
        <w:rPr>
          <w:rStyle w:val="page number"/>
          <w:rFonts w:ascii="Arial" w:hAnsi="Arial"/>
          <w:i w:val="1"/>
          <w:iCs w:val="1"/>
          <w:sz w:val="24"/>
          <w:szCs w:val="24"/>
          <w:rtl w:val="0"/>
          <w:lang w:val="en-US"/>
        </w:rPr>
        <w:t>Not1</w:t>
      </w:r>
      <w:r>
        <w:rPr>
          <w:rStyle w:val="page number"/>
          <w:rFonts w:ascii="Arial" w:hAnsi="Arial"/>
          <w:sz w:val="24"/>
          <w:szCs w:val="24"/>
          <w:rtl w:val="0"/>
          <w:lang w:val="en-US"/>
        </w:rPr>
        <w:t xml:space="preserve"> and </w:t>
      </w:r>
      <w:r>
        <w:rPr>
          <w:rStyle w:val="page number"/>
          <w:rFonts w:ascii="Arial" w:hAnsi="Arial"/>
          <w:i w:val="1"/>
          <w:iCs w:val="1"/>
          <w:sz w:val="24"/>
          <w:szCs w:val="24"/>
          <w:rtl w:val="0"/>
          <w:lang w:val="it-IT"/>
        </w:rPr>
        <w:t>EcoR1</w:t>
      </w:r>
      <w:r>
        <w:rPr>
          <w:rStyle w:val="page number"/>
          <w:rFonts w:ascii="Arial" w:hAnsi="Arial"/>
          <w:sz w:val="24"/>
          <w:szCs w:val="24"/>
          <w:rtl w:val="0"/>
          <w:lang w:val="en-US"/>
        </w:rPr>
        <w:t xml:space="preserve"> restriction sites, using In-Fusion cloning kit (Clontech).  The In-Fusion reaction was performed in a total volume of 10 </w:t>
      </w:r>
      <w:r>
        <w:rPr>
          <w:rStyle w:val="page number"/>
          <w:rFonts w:ascii="Arial" w:hAnsi="Arial" w:hint="default"/>
          <w:sz w:val="24"/>
          <w:szCs w:val="24"/>
          <w:rtl w:val="0"/>
          <w:lang w:val="sv-SE"/>
        </w:rPr>
        <w:t>µ</w:t>
      </w:r>
      <w:r>
        <w:rPr>
          <w:rStyle w:val="page number"/>
          <w:rFonts w:ascii="Arial" w:hAnsi="Arial"/>
          <w:sz w:val="24"/>
          <w:szCs w:val="24"/>
          <w:rtl w:val="0"/>
          <w:lang w:val="en-US"/>
        </w:rPr>
        <w:t xml:space="preserve">L, containing 2.0 </w:t>
      </w:r>
      <w:r>
        <w:rPr>
          <w:rStyle w:val="page number"/>
          <w:rFonts w:ascii="Arial" w:hAnsi="Arial" w:hint="default"/>
          <w:sz w:val="24"/>
          <w:szCs w:val="24"/>
          <w:rtl w:val="0"/>
          <w:lang w:val="sv-SE"/>
        </w:rPr>
        <w:t>µ</w:t>
      </w:r>
      <w:r>
        <w:rPr>
          <w:rStyle w:val="page number"/>
          <w:rFonts w:ascii="Arial" w:hAnsi="Arial"/>
          <w:sz w:val="24"/>
          <w:szCs w:val="24"/>
          <w:rtl w:val="0"/>
          <w:lang w:val="en-US"/>
        </w:rPr>
        <w:t xml:space="preserve">L of 5x In-Fusion HD Enzyme Premix, 200 ng of each purified PCR fragment, 200 ng of the retroviral vector and dH2O from the In-Fusion HD Cloning Kit (Clontech). The reaction mix was incubated at 50 </w:t>
      </w:r>
      <w:r>
        <w:rPr>
          <w:rStyle w:val="page number"/>
          <w:rFonts w:ascii="Arial" w:hAnsi="Arial" w:hint="default"/>
          <w:sz w:val="24"/>
          <w:szCs w:val="24"/>
          <w:rtl w:val="0"/>
          <w:lang w:val="sv-SE"/>
        </w:rPr>
        <w:t>°</w:t>
      </w:r>
      <w:r>
        <w:rPr>
          <w:rStyle w:val="page number"/>
          <w:rFonts w:ascii="Arial" w:hAnsi="Arial"/>
          <w:sz w:val="24"/>
          <w:szCs w:val="24"/>
          <w:rtl w:val="0"/>
          <w:lang w:val="en-US"/>
        </w:rPr>
        <w:t xml:space="preserve">C for 15 min, and then placed on ice for transformation using </w:t>
      </w:r>
      <w:r>
        <w:rPr>
          <w:rStyle w:val="page number"/>
          <w:rFonts w:ascii="Arial" w:hAnsi="Arial"/>
          <w:i w:val="1"/>
          <w:iCs w:val="1"/>
          <w:sz w:val="24"/>
          <w:szCs w:val="24"/>
          <w:rtl w:val="0"/>
          <w:lang w:val="it-IT"/>
        </w:rPr>
        <w:t>E. coli</w:t>
      </w:r>
      <w:r>
        <w:rPr>
          <w:rStyle w:val="page number"/>
          <w:rFonts w:ascii="Arial" w:hAnsi="Arial"/>
          <w:sz w:val="24"/>
          <w:szCs w:val="24"/>
          <w:rtl w:val="0"/>
          <w:lang w:val="en-US"/>
        </w:rPr>
        <w:t xml:space="preserve"> HST04 Premium Competent Cells (Clontech). The full-length cDNA sequences (2043 bp) of </w:t>
      </w:r>
      <w:r>
        <w:rPr>
          <w:rStyle w:val="page number"/>
          <w:rFonts w:ascii="Arial" w:hAnsi="Arial"/>
          <w:i w:val="1"/>
          <w:iCs w:val="1"/>
          <w:sz w:val="24"/>
          <w:szCs w:val="24"/>
          <w:rtl w:val="0"/>
        </w:rPr>
        <w:t>NPM1-ALK</w:t>
      </w:r>
      <w:r>
        <w:rPr>
          <w:rStyle w:val="page number"/>
          <w:rFonts w:ascii="Arial" w:hAnsi="Arial"/>
          <w:sz w:val="24"/>
          <w:szCs w:val="24"/>
          <w:rtl w:val="0"/>
          <w:lang w:val="en-US"/>
        </w:rPr>
        <w:t xml:space="preserve"> in infectious viral clones were determined by Sanger sequencing. </w:t>
      </w:r>
    </w:p>
    <w:p>
      <w:pPr>
        <w:pStyle w:val="Body"/>
        <w:spacing w:line="480" w:lineRule="auto"/>
        <w:jc w:val="both"/>
        <w:rPr>
          <w:rStyle w:val="page number"/>
          <w:rFonts w:ascii="Arial" w:cs="Arial" w:hAnsi="Arial" w:eastAsia="Arial"/>
          <w:i w:val="1"/>
          <w:iCs w:val="1"/>
          <w:sz w:val="24"/>
          <w:szCs w:val="24"/>
          <w:u w:val="single"/>
        </w:rPr>
      </w:pPr>
      <w:r>
        <w:rPr>
          <w:rStyle w:val="page number"/>
          <w:rFonts w:ascii="Arial" w:hAnsi="Arial"/>
          <w:i w:val="1"/>
          <w:iCs w:val="1"/>
          <w:sz w:val="24"/>
          <w:szCs w:val="24"/>
          <w:u w:val="single"/>
          <w:rtl w:val="0"/>
          <w:lang w:val="en-US"/>
        </w:rPr>
        <w:t>Retroviral construct and infection</w:t>
      </w:r>
    </w:p>
    <w:p>
      <w:pPr>
        <w:pStyle w:val="Body"/>
        <w:spacing w:line="480" w:lineRule="auto"/>
        <w:jc w:val="both"/>
        <w:rPr>
          <w:rStyle w:val="page number"/>
          <w:rFonts w:ascii="Arial" w:cs="Arial" w:hAnsi="Arial" w:eastAsia="Arial"/>
          <w:sz w:val="24"/>
          <w:szCs w:val="24"/>
        </w:rPr>
      </w:pPr>
      <w:r>
        <w:rPr>
          <w:rStyle w:val="page number"/>
          <w:rFonts w:ascii="Arial" w:hAnsi="Arial"/>
          <w:sz w:val="24"/>
          <w:szCs w:val="24"/>
          <w:rtl w:val="0"/>
          <w:lang w:val="en-US"/>
        </w:rPr>
        <w:t xml:space="preserve">The murine hematopoietic progenitor Ba/F3 cell line was purchased from ATCC (Manassas, VA, USA). Cells were cultured in RPMI-1640 medium containing 25 mM Hepes (ThemoFisher Scientific) supplemented with 10% heat-inactivated fetal bovine serum (HyClone), 2 mmol/L L-glutamine, 100 U/mL penicillin, 100 </w:t>
      </w:r>
      <w:r>
        <w:rPr>
          <w:rStyle w:val="page number"/>
          <w:rFonts w:ascii="Arial" w:hAnsi="Arial" w:hint="default"/>
          <w:sz w:val="24"/>
          <w:szCs w:val="24"/>
          <w:rtl w:val="0"/>
          <w:lang w:val="sv-SE"/>
        </w:rPr>
        <w:t>µ</w:t>
      </w:r>
      <w:r>
        <w:rPr>
          <w:rStyle w:val="page number"/>
          <w:rFonts w:ascii="Arial" w:hAnsi="Arial"/>
          <w:sz w:val="24"/>
          <w:szCs w:val="24"/>
          <w:rtl w:val="0"/>
          <w:lang w:val="en-US"/>
        </w:rPr>
        <w:t xml:space="preserve">g/mL streptomycin and 10 ng/mL IL-3 (PeproTech, NJ, USA). For all experiments, cells were used during exponential growth phase. Viral-producing supernatants containing MSCV-NPM-ALK-IRES-GFP were produced using the ecotropic Phoenix packaging cell line and supernatants harvested 72h after transfection were used to infect Ba/F3 cells. </w:t>
      </w:r>
    </w:p>
    <w:p>
      <w:pPr>
        <w:pStyle w:val="Body"/>
        <w:spacing w:line="480" w:lineRule="auto"/>
        <w:jc w:val="both"/>
        <w:rPr>
          <w:rStyle w:val="page number"/>
          <w:rFonts w:ascii="Arial" w:cs="Arial" w:hAnsi="Arial" w:eastAsia="Arial"/>
          <w:i w:val="1"/>
          <w:iCs w:val="1"/>
          <w:sz w:val="24"/>
          <w:szCs w:val="24"/>
          <w:u w:val="single"/>
          <w:lang w:val="en-US"/>
        </w:rPr>
      </w:pPr>
      <w:r>
        <w:rPr>
          <w:rStyle w:val="page number"/>
          <w:rFonts w:ascii="Arial" w:hAnsi="Arial"/>
          <w:i w:val="1"/>
          <w:iCs w:val="1"/>
          <w:sz w:val="24"/>
          <w:szCs w:val="24"/>
          <w:u w:val="single"/>
          <w:rtl w:val="0"/>
          <w:lang w:val="en-US"/>
        </w:rPr>
        <w:t>SCID/beige mouse model for ALK+ and ALK- ALCL</w:t>
      </w:r>
    </w:p>
    <w:p>
      <w:pPr>
        <w:pStyle w:val="Body"/>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jc w:val="both"/>
        <w:rPr>
          <w:sz w:val="24"/>
          <w:szCs w:val="24"/>
        </w:rPr>
      </w:pPr>
      <w:r>
        <w:rPr>
          <w:rStyle w:val="page number"/>
          <w:rFonts w:ascii="Arial" w:hAnsi="Arial"/>
          <w:sz w:val="24"/>
          <w:szCs w:val="24"/>
          <w:u w:color="000000"/>
          <w:rtl w:val="0"/>
          <w:lang w:val="en-US"/>
        </w:rPr>
        <w:t>10X10</w:t>
      </w:r>
      <w:r>
        <w:rPr>
          <w:rStyle w:val="page number"/>
          <w:rFonts w:ascii="Arial" w:hAnsi="Arial"/>
          <w:sz w:val="24"/>
          <w:szCs w:val="24"/>
          <w:u w:color="000000"/>
          <w:vertAlign w:val="superscript"/>
          <w:rtl w:val="0"/>
          <w:lang w:val="en-US"/>
        </w:rPr>
        <w:t xml:space="preserve">6  </w:t>
      </w:r>
      <w:r>
        <w:rPr>
          <w:rStyle w:val="page number"/>
          <w:rFonts w:ascii="Arial" w:hAnsi="Arial"/>
          <w:sz w:val="24"/>
          <w:szCs w:val="24"/>
          <w:u w:color="000000"/>
          <w:rtl w:val="0"/>
          <w:lang w:val="en-US"/>
        </w:rPr>
        <w:t xml:space="preserve">cells from two ALK+ ALCL cell lines, Karpas 299 and SUPM2, and one ALK- ALCL cell line, Mac1, were injected subcutaneously in SCID/beige mice (10 mice for each cell line) and were followed for tumor development. The tumors were measured and the mice were sacrificed when the tumor reached 1.5 cm in max. diameter according to the institutional ethical guidelines. The survival of </w:t>
      </w:r>
      <w:r>
        <w:rPr>
          <w:rStyle w:val="page number"/>
          <w:rFonts w:ascii="Arial" w:hAnsi="Arial"/>
          <w:sz w:val="24"/>
          <w:szCs w:val="24"/>
          <w:rtl w:val="0"/>
          <w:lang w:val="en-US"/>
        </w:rPr>
        <w:t xml:space="preserve">mice was calculated as the time from injection to the time of death (Kaplan-Meier curve). </w:t>
      </w:r>
      <w:r>
        <w:rPr>
          <w:rStyle w:val="page number"/>
          <w:rFonts w:ascii="Arial" w:hAnsi="Arial"/>
          <w:sz w:val="24"/>
          <w:szCs w:val="24"/>
          <w:u w:color="000000"/>
          <w:rtl w:val="0"/>
          <w:lang w:val="en-US"/>
        </w:rPr>
        <w:t xml:space="preserve">Plasma was isolated from all </w:t>
      </w:r>
      <w:r>
        <w:rPr>
          <w:rStyle w:val="page number"/>
          <w:rFonts w:ascii="Arial" w:hAnsi="Arial"/>
          <w:sz w:val="24"/>
          <w:szCs w:val="24"/>
          <w:rtl w:val="0"/>
          <w:lang w:val="en-US"/>
        </w:rPr>
        <w:t xml:space="preserve">SCID/beige mice. </w:t>
      </w:r>
      <w:r>
        <w:rPr>
          <w:rStyle w:val="page number"/>
          <w:rFonts w:ascii="Arial" w:hAnsi="Arial"/>
          <w:sz w:val="24"/>
          <w:szCs w:val="24"/>
          <w:rtl w:val="0"/>
          <w:lang w:val="en-US"/>
        </w:rPr>
        <w:t>Plasma samples were thawed on ice, briefly mixed and spun down at 500g for 30 seconds. Supernatant was collected in a new tube, diluted 1:1 with ice-cold PBS 1X and spun down at 12000g for 45 minutes at 4oC. Supernatant was collected in a new tube and kept on ice until use (100</w:t>
      </w:r>
      <w:r>
        <w:rPr>
          <w:rStyle w:val="page number"/>
          <w:rFonts w:ascii="Arial" w:hAnsi="Arial" w:hint="default"/>
          <w:sz w:val="24"/>
          <w:szCs w:val="24"/>
          <w:rtl w:val="0"/>
        </w:rPr>
        <w:t>μ</w:t>
      </w:r>
      <w:r>
        <w:rPr>
          <w:rStyle w:val="page number"/>
          <w:rFonts w:ascii="Arial" w:hAnsi="Arial"/>
          <w:sz w:val="24"/>
          <w:szCs w:val="24"/>
          <w:rtl w:val="0"/>
          <w:lang w:val="en-US"/>
        </w:rPr>
        <w:t xml:space="preserve">l per well). </w:t>
      </w:r>
      <w:r>
        <w:rPr>
          <w:rStyle w:val="page number"/>
          <w:rFonts w:ascii="Arial" w:hAnsi="Arial"/>
          <w:sz w:val="24"/>
          <w:szCs w:val="24"/>
          <w:rtl w:val="0"/>
          <w:lang w:val="en-US"/>
        </w:rPr>
        <w:t xml:space="preserve">IL-6 and MCP1/CCL2 levels were assessed with </w:t>
      </w:r>
      <w:r>
        <w:rPr>
          <w:rStyle w:val="page number"/>
          <w:rFonts w:ascii="Arial" w:hAnsi="Arial"/>
          <w:sz w:val="24"/>
          <w:szCs w:val="24"/>
          <w:rtl w:val="0"/>
          <w:lang w:val="de-DE"/>
        </w:rPr>
        <w:t>ELISA</w:t>
      </w:r>
      <w:r>
        <w:rPr>
          <w:rStyle w:val="page number"/>
          <w:rFonts w:ascii="Arial" w:hAnsi="Arial"/>
          <w:sz w:val="24"/>
          <w:szCs w:val="24"/>
          <w:rtl w:val="0"/>
          <w:lang w:val="en-US"/>
        </w:rPr>
        <w:t>, which</w:t>
      </w:r>
      <w:r>
        <w:rPr>
          <w:rStyle w:val="page number"/>
          <w:rFonts w:ascii="Arial" w:hAnsi="Arial"/>
          <w:sz w:val="24"/>
          <w:szCs w:val="24"/>
          <w:rtl w:val="0"/>
          <w:lang w:val="en-US"/>
        </w:rPr>
        <w:t xml:space="preserve"> was performed </w:t>
      </w:r>
      <w:r>
        <w:rPr>
          <w:rStyle w:val="page number"/>
          <w:rFonts w:ascii="Arial" w:hAnsi="Arial"/>
          <w:sz w:val="24"/>
          <w:szCs w:val="24"/>
          <w:rtl w:val="0"/>
          <w:lang w:val="en-US"/>
        </w:rPr>
        <w:t>according to the</w:t>
      </w:r>
      <w:r>
        <w:rPr>
          <w:rStyle w:val="page number"/>
          <w:rFonts w:ascii="Arial" w:hAnsi="Arial"/>
          <w:sz w:val="24"/>
          <w:szCs w:val="24"/>
          <w:rtl w:val="0"/>
          <w:lang w:val="fr-FR"/>
        </w:rPr>
        <w:t xml:space="preserve"> manufacturer</w:t>
      </w:r>
      <w:r>
        <w:rPr>
          <w:rStyle w:val="page number"/>
          <w:rFonts w:ascii="Arial" w:hAnsi="Arial" w:hint="default"/>
          <w:sz w:val="24"/>
          <w:szCs w:val="24"/>
          <w:rtl w:val="0"/>
        </w:rPr>
        <w:t>’</w:t>
      </w:r>
      <w:r>
        <w:rPr>
          <w:rStyle w:val="page number"/>
          <w:rFonts w:ascii="Arial" w:hAnsi="Arial"/>
          <w:sz w:val="24"/>
          <w:szCs w:val="24"/>
          <w:rtl w:val="0"/>
        </w:rPr>
        <w:t xml:space="preserve">s </w:t>
      </w:r>
      <w:r>
        <w:rPr>
          <w:rStyle w:val="page number"/>
          <w:rFonts w:ascii="Arial" w:hAnsi="Arial"/>
          <w:sz w:val="24"/>
          <w:szCs w:val="24"/>
          <w:rtl w:val="0"/>
          <w:lang w:val="en-US"/>
        </w:rPr>
        <w:t xml:space="preserve">recommended </w:t>
      </w:r>
      <w:r>
        <w:rPr>
          <w:rStyle w:val="page number"/>
          <w:rFonts w:ascii="Arial" w:hAnsi="Arial"/>
          <w:sz w:val="24"/>
          <w:szCs w:val="24"/>
          <w:rtl w:val="0"/>
          <w:lang w:val="en-US"/>
        </w:rPr>
        <w:t>protocol (Mini ELISA Development kits, PeproTech, NJ, USA) Results were obtained by using Spark 10M plate reader (Tecan Nordic</w:t>
      </w:r>
      <w:r>
        <w:rPr>
          <w:rStyle w:val="page number"/>
          <w:rFonts w:ascii="Arial" w:hAnsi="Arial"/>
          <w:sz w:val="24"/>
          <w:szCs w:val="24"/>
          <w:rtl w:val="0"/>
          <w:lang w:val="en-US"/>
        </w:rPr>
        <w:t xml:space="preserve">, </w:t>
      </w:r>
      <w:r>
        <w:rPr>
          <w:rStyle w:val="page number"/>
          <w:rFonts w:ascii="Arial" w:hAnsi="Arial"/>
          <w:sz w:val="24"/>
          <w:szCs w:val="24"/>
          <w:rtl w:val="0"/>
        </w:rPr>
        <w:t>Stockholm. Sweden)</w:t>
      </w:r>
      <w:r>
        <w:rPr>
          <w:rStyle w:val="page number"/>
          <w:rFonts w:ascii="Arial" w:hAnsi="Arial"/>
          <w:sz w:val="24"/>
          <w:szCs w:val="24"/>
          <w:rtl w:val="0"/>
          <w:lang w:val="en-US"/>
        </w:rPr>
        <w:t>. IL-6 and MCP1/CCL2 levels were significantly increased in the plasma of all three xenograft models (Karpas 299, SUPM2 and Mac1) as compared to control SCID/Beige mice.</w:t>
      </w:r>
    </w:p>
    <w:p>
      <w:pPr>
        <w:pStyle w:val="Body"/>
        <w:spacing w:line="480" w:lineRule="auto"/>
        <w:jc w:val="both"/>
      </w:pPr>
    </w:p>
    <w:p>
      <w:pPr>
        <w:pStyle w:val="Body"/>
        <w:spacing w:line="480" w:lineRule="auto"/>
        <w:jc w:val="both"/>
        <w:rPr>
          <w:rStyle w:val="page number"/>
          <w:rFonts w:ascii="Arial" w:cs="Arial" w:hAnsi="Arial" w:eastAsia="Arial"/>
          <w:b w:val="1"/>
          <w:bCs w:val="1"/>
          <w:sz w:val="24"/>
          <w:szCs w:val="24"/>
          <w:u w:val="single"/>
        </w:rPr>
      </w:pPr>
      <w:r>
        <w:rPr>
          <w:rStyle w:val="page number"/>
          <w:rFonts w:ascii="Arial" w:hAnsi="Arial"/>
          <w:b w:val="1"/>
          <w:bCs w:val="1"/>
          <w:sz w:val="24"/>
          <w:szCs w:val="24"/>
          <w:u w:val="single"/>
          <w:rtl w:val="0"/>
          <w:lang w:val="en-US"/>
        </w:rPr>
        <w:t>REFERENCE</w:t>
      </w:r>
    </w:p>
    <w:p>
      <w:pPr>
        <w:pStyle w:val="Body"/>
        <w:spacing w:line="480" w:lineRule="auto"/>
        <w:jc w:val="both"/>
        <w:rPr>
          <w:rStyle w:val="page number"/>
          <w:rFonts w:ascii="Arial" w:cs="Arial" w:hAnsi="Arial" w:eastAsia="Arial"/>
          <w:color w:val="191919"/>
          <w:sz w:val="24"/>
          <w:szCs w:val="24"/>
          <w:u w:color="191919"/>
          <w:lang w:val="en-US"/>
        </w:rPr>
      </w:pPr>
      <w:r>
        <w:rPr>
          <w:rStyle w:val="page number"/>
          <w:rFonts w:ascii="Arial" w:hAnsi="Arial"/>
          <w:sz w:val="24"/>
          <w:szCs w:val="24"/>
          <w:rtl w:val="0"/>
          <w:lang w:val="en-US"/>
        </w:rPr>
        <w:t xml:space="preserve">1. </w:t>
      </w:r>
      <w:r>
        <w:rPr>
          <w:rStyle w:val="page number"/>
          <w:rFonts w:ascii="Arial" w:hAnsi="Arial"/>
          <w:color w:val="191919"/>
          <w:sz w:val="24"/>
          <w:szCs w:val="24"/>
          <w:u w:color="191919"/>
          <w:rtl w:val="0"/>
          <w:lang w:val="en-US"/>
        </w:rPr>
        <w:t>Th</w:t>
      </w:r>
      <w:r>
        <w:rPr>
          <w:rStyle w:val="page number"/>
          <w:rFonts w:ascii="Arial" w:hAnsi="Arial" w:hint="default"/>
          <w:color w:val="191919"/>
          <w:sz w:val="24"/>
          <w:szCs w:val="24"/>
          <w:u w:color="191919"/>
          <w:rtl w:val="0"/>
          <w:lang w:val="en-US"/>
        </w:rPr>
        <w:t>é</w:t>
      </w:r>
      <w:r>
        <w:rPr>
          <w:rStyle w:val="page number"/>
          <w:rFonts w:ascii="Arial" w:hAnsi="Arial"/>
          <w:color w:val="191919"/>
          <w:sz w:val="24"/>
          <w:szCs w:val="24"/>
          <w:u w:color="191919"/>
          <w:rtl w:val="0"/>
          <w:lang w:val="en-US"/>
        </w:rPr>
        <w:t>ry C, Clayton A, Amigorena S, Raposo G. Isolation and Characterization of Exosomes from Cell Culture Supernatants and Biological Fluids. Current Protocols in Cell Biology. 2006; 3.22.1-3.22.29.</w:t>
      </w:r>
    </w:p>
    <w:p>
      <w:pPr>
        <w:pStyle w:val="Body"/>
        <w:spacing w:line="480" w:lineRule="auto"/>
        <w:jc w:val="both"/>
        <w:rPr>
          <w:rStyle w:val="page number"/>
          <w:rFonts w:ascii="Arial" w:cs="Arial" w:hAnsi="Arial" w:eastAsia="Arial"/>
          <w:color w:val="191919"/>
          <w:sz w:val="24"/>
          <w:szCs w:val="24"/>
          <w:u w:color="191919"/>
          <w:lang w:val="en-US"/>
        </w:rPr>
      </w:pPr>
    </w:p>
    <w:p>
      <w:pPr>
        <w:pStyle w:val="Body"/>
        <w:spacing w:line="480" w:lineRule="auto"/>
        <w:jc w:val="both"/>
        <w:rPr>
          <w:rStyle w:val="page number"/>
          <w:rFonts w:ascii="Arial" w:cs="Arial" w:hAnsi="Arial" w:eastAsia="Arial"/>
          <w:color w:val="191919"/>
          <w:sz w:val="24"/>
          <w:szCs w:val="24"/>
          <w:u w:color="191919"/>
          <w:lang w:val="en-US"/>
        </w:rPr>
      </w:pPr>
    </w:p>
    <w:p>
      <w:pPr>
        <w:pStyle w:val="Body"/>
        <w:spacing w:line="480" w:lineRule="auto"/>
        <w:jc w:val="both"/>
        <w:rPr>
          <w:rStyle w:val="page number"/>
          <w:rFonts w:ascii="Arial" w:cs="Arial" w:hAnsi="Arial" w:eastAsia="Arial"/>
          <w:color w:val="191919"/>
          <w:sz w:val="24"/>
          <w:szCs w:val="24"/>
          <w:u w:color="191919"/>
          <w:lang w:val="en-US"/>
        </w:rPr>
      </w:pPr>
    </w:p>
    <w:p>
      <w:pPr>
        <w:pStyle w:val="Body"/>
        <w:spacing w:line="480" w:lineRule="auto"/>
        <w:jc w:val="both"/>
        <w:rPr>
          <w:rStyle w:val="page number"/>
          <w:rFonts w:ascii="Arial" w:cs="Arial" w:hAnsi="Arial" w:eastAsia="Arial"/>
          <w:color w:val="191919"/>
          <w:sz w:val="24"/>
          <w:szCs w:val="24"/>
          <w:u w:color="191919"/>
          <w:lang w:val="en-US"/>
        </w:rPr>
      </w:pPr>
    </w:p>
    <w:p>
      <w:pPr>
        <w:pStyle w:val="Body"/>
        <w:spacing w:line="480" w:lineRule="auto"/>
        <w:jc w:val="both"/>
        <w:rPr>
          <w:rStyle w:val="page number"/>
          <w:rFonts w:ascii="Arial" w:cs="Arial" w:hAnsi="Arial" w:eastAsia="Arial"/>
          <w:color w:val="191919"/>
          <w:sz w:val="24"/>
          <w:szCs w:val="24"/>
          <w:u w:color="191919"/>
          <w:lang w:val="en-US"/>
        </w:rPr>
      </w:pPr>
    </w:p>
    <w:p>
      <w:pPr>
        <w:pStyle w:val="Body"/>
        <w:spacing w:line="480" w:lineRule="auto"/>
        <w:jc w:val="both"/>
        <w:rPr>
          <w:rStyle w:val="page number"/>
          <w:rFonts w:ascii="Arial" w:cs="Arial" w:hAnsi="Arial" w:eastAsia="Arial"/>
          <w:color w:val="191919"/>
          <w:sz w:val="24"/>
          <w:szCs w:val="24"/>
          <w:u w:color="191919"/>
          <w:lang w:val="en-US"/>
        </w:rPr>
      </w:pPr>
    </w:p>
    <w:p>
      <w:pPr>
        <w:pStyle w:val="Body"/>
        <w:spacing w:line="480" w:lineRule="auto"/>
        <w:jc w:val="both"/>
        <w:rPr>
          <w:rStyle w:val="page number"/>
          <w:rFonts w:ascii="Arial" w:cs="Arial" w:hAnsi="Arial" w:eastAsia="Arial"/>
          <w:b w:val="1"/>
          <w:bCs w:val="1"/>
          <w:color w:val="000000"/>
          <w:sz w:val="24"/>
          <w:szCs w:val="24"/>
          <w:u w:color="000000"/>
        </w:rPr>
      </w:pPr>
      <w:r>
        <w:rPr>
          <w:rStyle w:val="page number"/>
          <w:rFonts w:ascii="Arial" w:hAnsi="Arial"/>
          <w:b w:val="1"/>
          <w:bCs w:val="1"/>
          <w:color w:val="000000"/>
          <w:sz w:val="24"/>
          <w:szCs w:val="24"/>
          <w:u w:color="000000"/>
          <w:rtl w:val="0"/>
          <w:lang w:val="en-US"/>
        </w:rPr>
        <w:t>SUPPLEMENTARY TABLES</w:t>
      </w:r>
    </w:p>
    <w:p>
      <w:pPr>
        <w:pStyle w:val="Body"/>
        <w:rPr>
          <w:rStyle w:val="page number"/>
          <w:rFonts w:ascii="Arial" w:cs="Arial" w:hAnsi="Arial" w:eastAsia="Arial"/>
          <w:b w:val="1"/>
          <w:bCs w:val="1"/>
        </w:rPr>
      </w:pPr>
      <w:r>
        <w:rPr>
          <w:rStyle w:val="page number"/>
          <w:rFonts w:ascii="Arial" w:hAnsi="Arial"/>
          <w:b w:val="1"/>
          <w:bCs w:val="1"/>
          <w:rtl w:val="0"/>
        </w:rPr>
        <w:t xml:space="preserve">Suppl. Table 1. </w:t>
      </w:r>
      <w:r>
        <w:rPr>
          <w:rStyle w:val="page number"/>
          <w:rFonts w:ascii="Arial" w:hAnsi="Arial"/>
          <w:rtl w:val="0"/>
          <w:lang w:val="en-US"/>
        </w:rPr>
        <w:t>List of cell lines used in the present study</w:t>
      </w:r>
    </w:p>
    <w:tbl>
      <w:tblPr>
        <w:tblW w:w="7480"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700"/>
        <w:gridCol w:w="4080"/>
        <w:gridCol w:w="1700"/>
      </w:tblGrid>
      <w:tr>
        <w:tblPrEx>
          <w:shd w:val="clear" w:color="auto" w:fill="ced7e7"/>
        </w:tblPrEx>
        <w:trPr>
          <w:trHeight w:val="743" w:hRule="atLeast"/>
        </w:trPr>
        <w:tc>
          <w:tcPr>
            <w:tcW w:type="dxa" w:w="170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d9d9d9"/>
            <w:tcMar>
              <w:top w:type="dxa" w:w="80"/>
              <w:left w:type="dxa" w:w="80"/>
              <w:bottom w:type="dxa" w:w="80"/>
              <w:right w:type="dxa" w:w="80"/>
            </w:tcMar>
            <w:vAlign w:val="top"/>
          </w:tcPr>
          <w:p>
            <w:pPr>
              <w:pStyle w:val="Body"/>
              <w:rPr>
                <w:rStyle w:val="page number"/>
                <w:rFonts w:ascii="Arial" w:cs="Arial" w:hAnsi="Arial" w:eastAsia="Arial"/>
                <w:b w:val="1"/>
                <w:bCs w:val="1"/>
                <w:lang w:val="sv-SE"/>
              </w:rPr>
            </w:pPr>
          </w:p>
          <w:p>
            <w:pPr>
              <w:pStyle w:val="Body"/>
              <w:bidi w:val="0"/>
              <w:ind w:left="0" w:right="0" w:firstLine="0"/>
              <w:jc w:val="left"/>
              <w:rPr>
                <w:rtl w:val="0"/>
              </w:rPr>
            </w:pPr>
            <w:r>
              <w:rPr>
                <w:rStyle w:val="page number"/>
                <w:rFonts w:ascii="Arial" w:hAnsi="Arial"/>
                <w:b w:val="1"/>
                <w:bCs w:val="1"/>
                <w:rtl w:val="0"/>
                <w:lang w:val="sv-SE"/>
              </w:rPr>
              <w:t>Cell line</w:t>
            </w:r>
          </w:p>
        </w:tc>
        <w:tc>
          <w:tcPr>
            <w:tcW w:type="dxa" w:w="408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d9d9d9"/>
            <w:tcMar>
              <w:top w:type="dxa" w:w="80"/>
              <w:left w:type="dxa" w:w="80"/>
              <w:bottom w:type="dxa" w:w="80"/>
              <w:right w:type="dxa" w:w="80"/>
            </w:tcMar>
            <w:vAlign w:val="top"/>
          </w:tcPr>
          <w:p>
            <w:pPr>
              <w:pStyle w:val="Body"/>
              <w:rPr>
                <w:rStyle w:val="page number"/>
                <w:rFonts w:ascii="Arial" w:cs="Arial" w:hAnsi="Arial" w:eastAsia="Arial"/>
                <w:b w:val="1"/>
                <w:bCs w:val="1"/>
                <w:lang w:val="sv-SE"/>
              </w:rPr>
            </w:pPr>
          </w:p>
          <w:p>
            <w:pPr>
              <w:pStyle w:val="Body"/>
              <w:bidi w:val="0"/>
              <w:ind w:left="0" w:right="0" w:firstLine="0"/>
              <w:jc w:val="left"/>
              <w:rPr>
                <w:rtl w:val="0"/>
              </w:rPr>
            </w:pPr>
            <w:r>
              <w:rPr>
                <w:rStyle w:val="page number"/>
                <w:rFonts w:ascii="Arial" w:hAnsi="Arial"/>
                <w:b w:val="1"/>
                <w:bCs w:val="1"/>
                <w:rtl w:val="0"/>
                <w:lang w:val="sv-SE"/>
              </w:rPr>
              <w:t>Lymphoma type</w:t>
            </w:r>
          </w:p>
        </w:tc>
        <w:tc>
          <w:tcPr>
            <w:tcW w:type="dxa" w:w="170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d9d9d9"/>
            <w:tcMar>
              <w:top w:type="dxa" w:w="80"/>
              <w:left w:type="dxa" w:w="80"/>
              <w:bottom w:type="dxa" w:w="80"/>
              <w:right w:type="dxa" w:w="80"/>
            </w:tcMar>
            <w:vAlign w:val="top"/>
          </w:tcPr>
          <w:p>
            <w:pPr>
              <w:pStyle w:val="Body"/>
              <w:rPr>
                <w:rStyle w:val="page number"/>
                <w:rFonts w:ascii="Arial" w:cs="Arial" w:hAnsi="Arial" w:eastAsia="Arial"/>
                <w:b w:val="1"/>
                <w:bCs w:val="1"/>
                <w:lang w:val="sv-SE"/>
              </w:rPr>
            </w:pPr>
          </w:p>
          <w:p>
            <w:pPr>
              <w:pStyle w:val="Body"/>
              <w:bidi w:val="0"/>
              <w:ind w:left="0" w:right="0" w:firstLine="0"/>
              <w:jc w:val="left"/>
              <w:rPr>
                <w:rtl w:val="0"/>
              </w:rPr>
            </w:pPr>
            <w:r>
              <w:rPr>
                <w:rStyle w:val="page number"/>
                <w:rFonts w:ascii="Arial" w:hAnsi="Arial"/>
                <w:b w:val="1"/>
                <w:bCs w:val="1"/>
                <w:rtl w:val="0"/>
                <w:lang w:val="sv-SE"/>
              </w:rPr>
              <w:t>ALK status</w:t>
            </w:r>
          </w:p>
        </w:tc>
      </w:tr>
      <w:tr>
        <w:tblPrEx>
          <w:shd w:val="clear" w:color="auto" w:fill="ced7e7"/>
        </w:tblPrEx>
        <w:trPr>
          <w:trHeight w:val="517" w:hRule="atLeast"/>
        </w:trPr>
        <w:tc>
          <w:tcPr>
            <w:tcW w:type="dxa" w:w="170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Karpas 299</w:t>
            </w:r>
          </w:p>
        </w:tc>
        <w:tc>
          <w:tcPr>
            <w:tcW w:type="dxa" w:w="408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Anaplastic large cell lymphoma</w:t>
            </w:r>
          </w:p>
        </w:tc>
        <w:tc>
          <w:tcPr>
            <w:tcW w:type="dxa" w:w="170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Positive</w:t>
            </w:r>
          </w:p>
        </w:tc>
      </w:tr>
      <w:tr>
        <w:tblPrEx>
          <w:shd w:val="clear" w:color="auto" w:fill="ced7e7"/>
        </w:tblPrEx>
        <w:trPr>
          <w:trHeight w:val="495" w:hRule="atLeast"/>
        </w:trPr>
        <w:tc>
          <w:tcPr>
            <w:tcW w:type="dxa" w:w="170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SUP-M2</w:t>
            </w:r>
          </w:p>
        </w:tc>
        <w:tc>
          <w:tcPr>
            <w:tcW w:type="dxa" w:w="408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Anaplastic large cell lymphoma</w:t>
            </w:r>
          </w:p>
        </w:tc>
        <w:tc>
          <w:tcPr>
            <w:tcW w:type="dxa" w:w="170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Positive</w:t>
            </w:r>
          </w:p>
        </w:tc>
      </w:tr>
      <w:tr>
        <w:tblPrEx>
          <w:shd w:val="clear" w:color="auto" w:fill="ced7e7"/>
        </w:tblPrEx>
        <w:trPr>
          <w:trHeight w:val="476" w:hRule="atLeast"/>
        </w:trPr>
        <w:tc>
          <w:tcPr>
            <w:tcW w:type="dxa" w:w="170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Mac-1</w:t>
            </w:r>
          </w:p>
        </w:tc>
        <w:tc>
          <w:tcPr>
            <w:tcW w:type="dxa" w:w="408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Anaplastic large cell lymphoma</w:t>
            </w:r>
          </w:p>
        </w:tc>
        <w:tc>
          <w:tcPr>
            <w:tcW w:type="dxa" w:w="170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Negative</w:t>
            </w:r>
          </w:p>
        </w:tc>
      </w:tr>
      <w:tr>
        <w:tblPrEx>
          <w:shd w:val="clear" w:color="auto" w:fill="ced7e7"/>
        </w:tblPrEx>
        <w:trPr>
          <w:trHeight w:val="505" w:hRule="atLeast"/>
        </w:trPr>
        <w:tc>
          <w:tcPr>
            <w:tcW w:type="dxa" w:w="170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Mac-2A</w:t>
            </w:r>
          </w:p>
        </w:tc>
        <w:tc>
          <w:tcPr>
            <w:tcW w:type="dxa" w:w="408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Anaplastic large cell lymphoma</w:t>
            </w:r>
          </w:p>
        </w:tc>
        <w:tc>
          <w:tcPr>
            <w:tcW w:type="dxa" w:w="170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Negative</w:t>
            </w:r>
          </w:p>
        </w:tc>
      </w:tr>
      <w:tr>
        <w:tblPrEx>
          <w:shd w:val="clear" w:color="auto" w:fill="ced7e7"/>
        </w:tblPrEx>
        <w:trPr>
          <w:trHeight w:val="419" w:hRule="atLeast"/>
        </w:trPr>
        <w:tc>
          <w:tcPr>
            <w:tcW w:type="dxa" w:w="170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BaF3</w:t>
            </w:r>
          </w:p>
        </w:tc>
        <w:tc>
          <w:tcPr>
            <w:tcW w:type="dxa" w:w="408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Murine progenitor B cell</w:t>
            </w:r>
          </w:p>
        </w:tc>
        <w:tc>
          <w:tcPr>
            <w:tcW w:type="dxa" w:w="170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Negative</w:t>
            </w:r>
          </w:p>
        </w:tc>
      </w:tr>
      <w:tr>
        <w:tblPrEx>
          <w:shd w:val="clear" w:color="auto" w:fill="ced7e7"/>
        </w:tblPrEx>
        <w:trPr>
          <w:trHeight w:val="512" w:hRule="atLeast"/>
        </w:trPr>
        <w:tc>
          <w:tcPr>
            <w:tcW w:type="dxa" w:w="170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BaF3</w:t>
            </w:r>
            <w:r>
              <w:rPr>
                <w:rStyle w:val="page number"/>
                <w:rFonts w:ascii="Arial" w:hAnsi="Arial"/>
                <w:vertAlign w:val="superscript"/>
                <w:rtl w:val="0"/>
                <w:lang w:val="sv-SE"/>
              </w:rPr>
              <w:t xml:space="preserve">NPM-ALK </w:t>
            </w:r>
          </w:p>
        </w:tc>
        <w:tc>
          <w:tcPr>
            <w:tcW w:type="dxa" w:w="408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Murine progenitor B cell</w:t>
            </w:r>
          </w:p>
        </w:tc>
        <w:tc>
          <w:tcPr>
            <w:tcW w:type="dxa" w:w="170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Positive</w:t>
            </w:r>
          </w:p>
        </w:tc>
      </w:tr>
      <w:tr>
        <w:tblPrEx>
          <w:shd w:val="clear" w:color="auto" w:fill="ced7e7"/>
        </w:tblPrEx>
        <w:trPr>
          <w:trHeight w:val="512" w:hRule="atLeast"/>
        </w:trPr>
        <w:tc>
          <w:tcPr>
            <w:tcW w:type="dxa" w:w="170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L88</w:t>
            </w:r>
          </w:p>
        </w:tc>
        <w:tc>
          <w:tcPr>
            <w:tcW w:type="dxa" w:w="408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Bone marrow-derived fibroblasts</w:t>
            </w:r>
          </w:p>
        </w:tc>
        <w:tc>
          <w:tcPr>
            <w:tcW w:type="dxa" w:w="170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Negative</w:t>
            </w:r>
          </w:p>
        </w:tc>
      </w:tr>
    </w:tbl>
    <w:p>
      <w:pPr>
        <w:pStyle w:val="Body"/>
        <w:widowControl w:val="0"/>
        <w:spacing w:line="240" w:lineRule="auto"/>
        <w:rPr>
          <w:rStyle w:val="page number"/>
          <w:rFonts w:ascii="Arial" w:cs="Arial" w:hAnsi="Arial" w:eastAsia="Arial"/>
          <w:b w:val="1"/>
          <w:bCs w:val="1"/>
        </w:rPr>
      </w:pPr>
    </w:p>
    <w:p>
      <w:pPr>
        <w:pStyle w:val="Body"/>
        <w:rPr>
          <w:rFonts w:ascii="Arial" w:cs="Arial" w:hAnsi="Arial" w:eastAsia="Arial"/>
        </w:rPr>
      </w:pPr>
    </w:p>
    <w:p>
      <w:pPr>
        <w:pStyle w:val="Body"/>
      </w:pPr>
      <w:r>
        <w:rPr>
          <w:rStyle w:val="page number"/>
          <w:rFonts w:ascii="Arial" w:hAnsi="Arial"/>
          <w:b w:val="1"/>
          <w:bCs w:val="1"/>
          <w:rtl w:val="0"/>
        </w:rPr>
        <w:t xml:space="preserve">Suppl. Table 2. </w:t>
      </w:r>
      <w:r>
        <w:rPr>
          <w:rStyle w:val="page number"/>
          <w:rFonts w:ascii="Arial" w:hAnsi="Arial"/>
          <w:rtl w:val="0"/>
          <w:lang w:val="en-US"/>
        </w:rPr>
        <w:t>List of antibodies used in the study</w:t>
      </w:r>
    </w:p>
    <w:tbl>
      <w:tblPr>
        <w:tblW w:w="7785"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483"/>
        <w:gridCol w:w="1276"/>
        <w:gridCol w:w="1332"/>
        <w:gridCol w:w="2694"/>
      </w:tblGrid>
      <w:tr>
        <w:tblPrEx>
          <w:shd w:val="clear" w:color="auto" w:fill="ced7e7"/>
        </w:tblPrEx>
        <w:trPr>
          <w:trHeight w:val="339" w:hRule="atLeast"/>
        </w:trPr>
        <w:tc>
          <w:tcPr>
            <w:tcW w:type="dxa" w:w="248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d9d9d9"/>
            <w:tcMar>
              <w:top w:type="dxa" w:w="80"/>
              <w:left w:type="dxa" w:w="80"/>
              <w:bottom w:type="dxa" w:w="80"/>
              <w:right w:type="dxa" w:w="80"/>
            </w:tcMar>
            <w:vAlign w:val="top"/>
          </w:tcPr>
          <w:p>
            <w:pPr>
              <w:pStyle w:val="Body"/>
            </w:pPr>
            <w:r>
              <w:rPr>
                <w:rStyle w:val="page number"/>
                <w:rFonts w:ascii="Arial" w:hAnsi="Arial"/>
                <w:b w:val="1"/>
                <w:bCs w:val="1"/>
                <w:rtl w:val="0"/>
                <w:lang w:val="sv-SE"/>
              </w:rPr>
              <w:t>Antibody</w:t>
            </w:r>
          </w:p>
        </w:tc>
        <w:tc>
          <w:tcPr>
            <w:tcW w:type="dxa" w:w="127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d9d9d9"/>
            <w:tcMar>
              <w:top w:type="dxa" w:w="80"/>
              <w:left w:type="dxa" w:w="80"/>
              <w:bottom w:type="dxa" w:w="80"/>
              <w:right w:type="dxa" w:w="80"/>
            </w:tcMar>
            <w:vAlign w:val="top"/>
          </w:tcPr>
          <w:p>
            <w:pPr>
              <w:pStyle w:val="Body"/>
            </w:pPr>
            <w:r>
              <w:rPr>
                <w:rStyle w:val="page number"/>
                <w:rFonts w:ascii="Arial" w:hAnsi="Arial"/>
                <w:b w:val="1"/>
                <w:bCs w:val="1"/>
                <w:rtl w:val="0"/>
                <w:lang w:val="sv-SE"/>
              </w:rPr>
              <w:t>Cat. no</w:t>
            </w:r>
          </w:p>
        </w:tc>
        <w:tc>
          <w:tcPr>
            <w:tcW w:type="dxa" w:w="133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d9d9d9"/>
            <w:tcMar>
              <w:top w:type="dxa" w:w="80"/>
              <w:left w:type="dxa" w:w="80"/>
              <w:bottom w:type="dxa" w:w="80"/>
              <w:right w:type="dxa" w:w="80"/>
            </w:tcMar>
            <w:vAlign w:val="top"/>
          </w:tcPr>
          <w:p>
            <w:pPr>
              <w:pStyle w:val="Body"/>
            </w:pPr>
            <w:r>
              <w:rPr>
                <w:rStyle w:val="page number"/>
                <w:rFonts w:ascii="Arial" w:hAnsi="Arial"/>
                <w:b w:val="1"/>
                <w:bCs w:val="1"/>
                <w:rtl w:val="0"/>
                <w:lang w:val="sv-SE"/>
              </w:rPr>
              <w:t>Species</w:t>
            </w:r>
          </w:p>
        </w:tc>
        <w:tc>
          <w:tcPr>
            <w:tcW w:type="dxa" w:w="269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d9d9d9"/>
            <w:tcMar>
              <w:top w:type="dxa" w:w="80"/>
              <w:left w:type="dxa" w:w="80"/>
              <w:bottom w:type="dxa" w:w="80"/>
              <w:right w:type="dxa" w:w="80"/>
            </w:tcMar>
            <w:vAlign w:val="top"/>
          </w:tcPr>
          <w:p>
            <w:pPr>
              <w:pStyle w:val="Body"/>
            </w:pPr>
            <w:r>
              <w:rPr>
                <w:rStyle w:val="page number"/>
                <w:rFonts w:ascii="Arial" w:hAnsi="Arial"/>
                <w:b w:val="1"/>
                <w:bCs w:val="1"/>
                <w:rtl w:val="0"/>
                <w:lang w:val="sv-SE"/>
              </w:rPr>
              <w:t>Company</w:t>
            </w:r>
          </w:p>
        </w:tc>
      </w:tr>
      <w:tr>
        <w:tblPrEx>
          <w:shd w:val="clear" w:color="auto" w:fill="ced7e7"/>
        </w:tblPrEx>
        <w:trPr>
          <w:trHeight w:val="528" w:hRule="atLeast"/>
        </w:trPr>
        <w:tc>
          <w:tcPr>
            <w:tcW w:type="dxa" w:w="248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STAT3</w:t>
            </w:r>
          </w:p>
        </w:tc>
        <w:tc>
          <w:tcPr>
            <w:tcW w:type="dxa" w:w="127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#9139</w:t>
            </w:r>
          </w:p>
        </w:tc>
        <w:tc>
          <w:tcPr>
            <w:tcW w:type="dxa" w:w="133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mouse</w:t>
            </w:r>
          </w:p>
        </w:tc>
        <w:tc>
          <w:tcPr>
            <w:tcW w:type="dxa" w:w="269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Cell Signaling Technology</w:t>
            </w:r>
          </w:p>
        </w:tc>
      </w:tr>
      <w:tr>
        <w:tblPrEx>
          <w:shd w:val="clear" w:color="auto" w:fill="ced7e7"/>
        </w:tblPrEx>
        <w:trPr>
          <w:trHeight w:val="562" w:hRule="atLeast"/>
        </w:trPr>
        <w:tc>
          <w:tcPr>
            <w:tcW w:type="dxa" w:w="248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pSTAT3 (Y705)</w:t>
            </w:r>
          </w:p>
        </w:tc>
        <w:tc>
          <w:tcPr>
            <w:tcW w:type="dxa" w:w="127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sc8059</w:t>
            </w:r>
          </w:p>
        </w:tc>
        <w:tc>
          <w:tcPr>
            <w:tcW w:type="dxa" w:w="133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mouse</w:t>
            </w:r>
          </w:p>
        </w:tc>
        <w:tc>
          <w:tcPr>
            <w:tcW w:type="dxa" w:w="269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en-US"/>
              </w:rPr>
              <w:t>Santa Cruz Biotechnology</w:t>
            </w:r>
          </w:p>
        </w:tc>
      </w:tr>
      <w:tr>
        <w:tblPrEx>
          <w:shd w:val="clear" w:color="auto" w:fill="ced7e7"/>
        </w:tblPrEx>
        <w:trPr>
          <w:trHeight w:val="528" w:hRule="atLeast"/>
        </w:trPr>
        <w:tc>
          <w:tcPr>
            <w:tcW w:type="dxa" w:w="248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pSTAT3 (Y727)</w:t>
            </w:r>
          </w:p>
        </w:tc>
        <w:tc>
          <w:tcPr>
            <w:tcW w:type="dxa" w:w="127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sc8001R</w:t>
            </w:r>
          </w:p>
        </w:tc>
        <w:tc>
          <w:tcPr>
            <w:tcW w:type="dxa" w:w="133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rabbit</w:t>
            </w:r>
          </w:p>
        </w:tc>
        <w:tc>
          <w:tcPr>
            <w:tcW w:type="dxa" w:w="269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Santa Cruz Biotechnology</w:t>
            </w:r>
          </w:p>
        </w:tc>
      </w:tr>
      <w:tr>
        <w:tblPrEx>
          <w:shd w:val="clear" w:color="auto" w:fill="ced7e7"/>
        </w:tblPrEx>
        <w:trPr>
          <w:trHeight w:val="528" w:hRule="atLeast"/>
        </w:trPr>
        <w:tc>
          <w:tcPr>
            <w:tcW w:type="dxa" w:w="248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MYC</w:t>
            </w:r>
          </w:p>
        </w:tc>
        <w:tc>
          <w:tcPr>
            <w:tcW w:type="dxa" w:w="127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#13987</w:t>
            </w:r>
          </w:p>
        </w:tc>
        <w:tc>
          <w:tcPr>
            <w:tcW w:type="dxa" w:w="133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rabbit</w:t>
            </w:r>
          </w:p>
        </w:tc>
        <w:tc>
          <w:tcPr>
            <w:tcW w:type="dxa" w:w="269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Cell Signaling Technology</w:t>
            </w:r>
          </w:p>
        </w:tc>
      </w:tr>
      <w:tr>
        <w:tblPrEx>
          <w:shd w:val="clear" w:color="auto" w:fill="ced7e7"/>
        </w:tblPrEx>
        <w:trPr>
          <w:trHeight w:val="528" w:hRule="atLeast"/>
        </w:trPr>
        <w:tc>
          <w:tcPr>
            <w:tcW w:type="dxa" w:w="248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PD-L1</w:t>
            </w:r>
          </w:p>
        </w:tc>
        <w:tc>
          <w:tcPr>
            <w:tcW w:type="dxa" w:w="127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#13684</w:t>
            </w:r>
          </w:p>
        </w:tc>
        <w:tc>
          <w:tcPr>
            <w:tcW w:type="dxa" w:w="133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rabbit</w:t>
            </w:r>
            <w:r>
              <w:rPr>
                <w:rStyle w:val="page number"/>
                <w:rFonts w:ascii="Arial" w:hAnsi="Arial"/>
                <w:color w:val="1c1c1c"/>
                <w:u w:color="1c1c1c"/>
                <w:rtl w:val="0"/>
                <w:lang w:val="sv-SE"/>
              </w:rPr>
              <w:t xml:space="preserve"> </w:t>
            </w:r>
          </w:p>
        </w:tc>
        <w:tc>
          <w:tcPr>
            <w:tcW w:type="dxa" w:w="269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Cell Signaling Technology</w:t>
            </w:r>
          </w:p>
        </w:tc>
      </w:tr>
      <w:tr>
        <w:tblPrEx>
          <w:shd w:val="clear" w:color="auto" w:fill="ced7e7"/>
        </w:tblPrEx>
        <w:trPr>
          <w:trHeight w:val="528" w:hRule="atLeast"/>
        </w:trPr>
        <w:tc>
          <w:tcPr>
            <w:tcW w:type="dxa" w:w="248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en-US"/>
              </w:rPr>
              <w:t>pALK (Y1604)</w:t>
            </w:r>
          </w:p>
        </w:tc>
        <w:tc>
          <w:tcPr>
            <w:tcW w:type="dxa" w:w="127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#3341</w:t>
            </w:r>
          </w:p>
        </w:tc>
        <w:tc>
          <w:tcPr>
            <w:tcW w:type="dxa" w:w="133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rabbit</w:t>
            </w:r>
          </w:p>
        </w:tc>
        <w:tc>
          <w:tcPr>
            <w:tcW w:type="dxa" w:w="269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Cell Signaling Technology</w:t>
            </w:r>
          </w:p>
        </w:tc>
      </w:tr>
      <w:tr>
        <w:tblPrEx>
          <w:shd w:val="clear" w:color="auto" w:fill="ced7e7"/>
        </w:tblPrEx>
        <w:trPr>
          <w:trHeight w:val="528" w:hRule="atLeast"/>
        </w:trPr>
        <w:tc>
          <w:tcPr>
            <w:tcW w:type="dxa" w:w="248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JunB</w:t>
            </w:r>
          </w:p>
        </w:tc>
        <w:tc>
          <w:tcPr>
            <w:tcW w:type="dxa" w:w="127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sc8051</w:t>
            </w:r>
          </w:p>
        </w:tc>
        <w:tc>
          <w:tcPr>
            <w:tcW w:type="dxa" w:w="133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mouse</w:t>
            </w:r>
          </w:p>
        </w:tc>
        <w:tc>
          <w:tcPr>
            <w:tcW w:type="dxa" w:w="269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Santa Cruz Biotechnology</w:t>
            </w:r>
          </w:p>
        </w:tc>
      </w:tr>
      <w:tr>
        <w:tblPrEx>
          <w:shd w:val="clear" w:color="auto" w:fill="ced7e7"/>
        </w:tblPrEx>
        <w:trPr>
          <w:trHeight w:val="528" w:hRule="atLeast"/>
        </w:trPr>
        <w:tc>
          <w:tcPr>
            <w:tcW w:type="dxa" w:w="248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p-AKT (S473)</w:t>
            </w:r>
          </w:p>
        </w:tc>
        <w:tc>
          <w:tcPr>
            <w:tcW w:type="dxa" w:w="127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#4051</w:t>
            </w:r>
          </w:p>
        </w:tc>
        <w:tc>
          <w:tcPr>
            <w:tcW w:type="dxa" w:w="133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mouse</w:t>
            </w:r>
          </w:p>
        </w:tc>
        <w:tc>
          <w:tcPr>
            <w:tcW w:type="dxa" w:w="269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Cell Signaling Technology</w:t>
            </w:r>
          </w:p>
        </w:tc>
      </w:tr>
      <w:tr>
        <w:tblPrEx>
          <w:shd w:val="clear" w:color="auto" w:fill="ced7e7"/>
        </w:tblPrEx>
        <w:trPr>
          <w:trHeight w:val="528" w:hRule="atLeast"/>
        </w:trPr>
        <w:tc>
          <w:tcPr>
            <w:tcW w:type="dxa" w:w="248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p-p44/42 MAPK T202/Y204)</w:t>
            </w:r>
          </w:p>
        </w:tc>
        <w:tc>
          <w:tcPr>
            <w:tcW w:type="dxa" w:w="127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#4370</w:t>
            </w:r>
          </w:p>
        </w:tc>
        <w:tc>
          <w:tcPr>
            <w:tcW w:type="dxa" w:w="133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rabbit</w:t>
            </w:r>
          </w:p>
        </w:tc>
        <w:tc>
          <w:tcPr>
            <w:tcW w:type="dxa" w:w="269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Cell Signaling Technology</w:t>
            </w:r>
          </w:p>
        </w:tc>
      </w:tr>
      <w:tr>
        <w:tblPrEx>
          <w:shd w:val="clear" w:color="auto" w:fill="ced7e7"/>
        </w:tblPrEx>
        <w:trPr>
          <w:trHeight w:val="528" w:hRule="atLeast"/>
        </w:trPr>
        <w:tc>
          <w:tcPr>
            <w:tcW w:type="dxa" w:w="248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Alix</w:t>
            </w:r>
          </w:p>
        </w:tc>
        <w:tc>
          <w:tcPr>
            <w:tcW w:type="dxa" w:w="127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#2171</w:t>
            </w:r>
          </w:p>
        </w:tc>
        <w:tc>
          <w:tcPr>
            <w:tcW w:type="dxa" w:w="133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mouse</w:t>
            </w:r>
          </w:p>
        </w:tc>
        <w:tc>
          <w:tcPr>
            <w:tcW w:type="dxa" w:w="269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Cell Signaling Technology</w:t>
            </w:r>
          </w:p>
        </w:tc>
      </w:tr>
      <w:tr>
        <w:tblPrEx>
          <w:shd w:val="clear" w:color="auto" w:fill="ced7e7"/>
        </w:tblPrEx>
        <w:trPr>
          <w:trHeight w:val="472" w:hRule="atLeast"/>
        </w:trPr>
        <w:tc>
          <w:tcPr>
            <w:tcW w:type="dxa" w:w="248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TSG101</w:t>
            </w:r>
          </w:p>
        </w:tc>
        <w:tc>
          <w:tcPr>
            <w:tcW w:type="dxa" w:w="127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ab30871</w:t>
            </w:r>
          </w:p>
        </w:tc>
        <w:tc>
          <w:tcPr>
            <w:tcW w:type="dxa" w:w="133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rabbit</w:t>
            </w:r>
          </w:p>
        </w:tc>
        <w:tc>
          <w:tcPr>
            <w:tcW w:type="dxa" w:w="269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Abcam</w:t>
            </w:r>
          </w:p>
        </w:tc>
      </w:tr>
      <w:tr>
        <w:tblPrEx>
          <w:shd w:val="clear" w:color="auto" w:fill="ced7e7"/>
        </w:tblPrEx>
        <w:trPr>
          <w:trHeight w:val="528" w:hRule="atLeast"/>
        </w:trPr>
        <w:tc>
          <w:tcPr>
            <w:tcW w:type="dxa" w:w="248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Rab5</w:t>
            </w:r>
          </w:p>
        </w:tc>
        <w:tc>
          <w:tcPr>
            <w:tcW w:type="dxa" w:w="127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#3547</w:t>
            </w:r>
          </w:p>
        </w:tc>
        <w:tc>
          <w:tcPr>
            <w:tcW w:type="dxa" w:w="133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rabbit</w:t>
            </w:r>
          </w:p>
        </w:tc>
        <w:tc>
          <w:tcPr>
            <w:tcW w:type="dxa" w:w="269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Cell Signaling Technology</w:t>
            </w:r>
          </w:p>
        </w:tc>
      </w:tr>
      <w:tr>
        <w:tblPrEx>
          <w:shd w:val="clear" w:color="auto" w:fill="ced7e7"/>
        </w:tblPrEx>
        <w:trPr>
          <w:trHeight w:val="472" w:hRule="atLeast"/>
        </w:trPr>
        <w:tc>
          <w:tcPr>
            <w:tcW w:type="dxa" w:w="248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CD30</w:t>
            </w:r>
          </w:p>
        </w:tc>
        <w:tc>
          <w:tcPr>
            <w:tcW w:type="dxa" w:w="127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M0751</w:t>
            </w:r>
          </w:p>
        </w:tc>
        <w:tc>
          <w:tcPr>
            <w:tcW w:type="dxa" w:w="133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mouse</w:t>
            </w:r>
          </w:p>
        </w:tc>
        <w:tc>
          <w:tcPr>
            <w:tcW w:type="dxa" w:w="269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Dako</w:t>
            </w:r>
          </w:p>
        </w:tc>
      </w:tr>
      <w:tr>
        <w:tblPrEx>
          <w:shd w:val="clear" w:color="auto" w:fill="ced7e7"/>
        </w:tblPrEx>
        <w:trPr>
          <w:trHeight w:val="528" w:hRule="atLeast"/>
        </w:trPr>
        <w:tc>
          <w:tcPr>
            <w:tcW w:type="dxa" w:w="248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vertAlign w:val="baseline"/>
                <w:rtl w:val="0"/>
                <w:lang w:val="sv-SE"/>
              </w:rPr>
              <w:t>FLIP</w:t>
            </w:r>
            <w:r>
              <w:rPr>
                <w:rStyle w:val="page number"/>
                <w:rFonts w:ascii="Arial" w:hAnsi="Arial"/>
                <w:sz w:val="24"/>
                <w:szCs w:val="24"/>
                <w:vertAlign w:val="subscript"/>
                <w:rtl w:val="0"/>
                <w:lang w:val="sv-SE"/>
              </w:rPr>
              <w:t>S/L</w:t>
            </w:r>
          </w:p>
        </w:tc>
        <w:tc>
          <w:tcPr>
            <w:tcW w:type="dxa" w:w="127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sc8347</w:t>
            </w:r>
          </w:p>
        </w:tc>
        <w:tc>
          <w:tcPr>
            <w:tcW w:type="dxa" w:w="133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rabbit</w:t>
            </w:r>
          </w:p>
        </w:tc>
        <w:tc>
          <w:tcPr>
            <w:tcW w:type="dxa" w:w="269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Santa Cruz Biotechnology</w:t>
            </w:r>
          </w:p>
        </w:tc>
      </w:tr>
      <w:tr>
        <w:tblPrEx>
          <w:shd w:val="clear" w:color="auto" w:fill="ced7e7"/>
        </w:tblPrEx>
        <w:trPr>
          <w:trHeight w:val="528" w:hRule="atLeast"/>
        </w:trPr>
        <w:tc>
          <w:tcPr>
            <w:tcW w:type="dxa" w:w="248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AIF</w:t>
            </w:r>
          </w:p>
        </w:tc>
        <w:tc>
          <w:tcPr>
            <w:tcW w:type="dxa" w:w="127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sc9416</w:t>
            </w:r>
          </w:p>
        </w:tc>
        <w:tc>
          <w:tcPr>
            <w:tcW w:type="dxa" w:w="133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goat</w:t>
            </w:r>
          </w:p>
        </w:tc>
        <w:tc>
          <w:tcPr>
            <w:tcW w:type="dxa" w:w="269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Santa Cruz Biotechnology</w:t>
            </w:r>
          </w:p>
        </w:tc>
      </w:tr>
      <w:tr>
        <w:tblPrEx>
          <w:shd w:val="clear" w:color="auto" w:fill="ced7e7"/>
        </w:tblPrEx>
        <w:trPr>
          <w:trHeight w:val="528" w:hRule="atLeast"/>
        </w:trPr>
        <w:tc>
          <w:tcPr>
            <w:tcW w:type="dxa" w:w="248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BCL-XL</w:t>
            </w:r>
          </w:p>
        </w:tc>
        <w:tc>
          <w:tcPr>
            <w:tcW w:type="dxa" w:w="127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#2764</w:t>
            </w:r>
          </w:p>
        </w:tc>
        <w:tc>
          <w:tcPr>
            <w:tcW w:type="dxa" w:w="133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Rabbit</w:t>
            </w:r>
          </w:p>
        </w:tc>
        <w:tc>
          <w:tcPr>
            <w:tcW w:type="dxa" w:w="269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Cell Signaling Technology</w:t>
            </w:r>
          </w:p>
        </w:tc>
      </w:tr>
      <w:tr>
        <w:tblPrEx>
          <w:shd w:val="clear" w:color="auto" w:fill="ced7e7"/>
        </w:tblPrEx>
        <w:trPr>
          <w:trHeight w:val="528" w:hRule="atLeast"/>
        </w:trPr>
        <w:tc>
          <w:tcPr>
            <w:tcW w:type="dxa" w:w="248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Cyclin D3</w:t>
            </w:r>
          </w:p>
        </w:tc>
        <w:tc>
          <w:tcPr>
            <w:tcW w:type="dxa" w:w="127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#2936</w:t>
            </w:r>
          </w:p>
        </w:tc>
        <w:tc>
          <w:tcPr>
            <w:tcW w:type="dxa" w:w="133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mouse</w:t>
            </w:r>
          </w:p>
        </w:tc>
        <w:tc>
          <w:tcPr>
            <w:tcW w:type="dxa" w:w="269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Cell Signaling Technology</w:t>
            </w:r>
          </w:p>
        </w:tc>
      </w:tr>
      <w:tr>
        <w:tblPrEx>
          <w:shd w:val="clear" w:color="auto" w:fill="ced7e7"/>
        </w:tblPrEx>
        <w:trPr>
          <w:trHeight w:val="472" w:hRule="atLeast"/>
        </w:trPr>
        <w:tc>
          <w:tcPr>
            <w:tcW w:type="dxa" w:w="2483"/>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hint="default"/>
                <w:rtl w:val="0"/>
              </w:rPr>
              <w:t>β</w:t>
            </w:r>
            <w:r>
              <w:rPr>
                <w:rStyle w:val="page number"/>
                <w:rFonts w:ascii="Arial" w:hAnsi="Arial"/>
                <w:rtl w:val="0"/>
                <w:lang w:val="ru-RU"/>
              </w:rPr>
              <w:t xml:space="preserve">- </w:t>
            </w:r>
            <w:r>
              <w:rPr>
                <w:rStyle w:val="page number"/>
                <w:rFonts w:ascii="Arial" w:hAnsi="Arial"/>
                <w:rtl w:val="0"/>
                <w:lang w:val="sv-SE"/>
              </w:rPr>
              <w:t>actin</w:t>
            </w:r>
          </w:p>
        </w:tc>
        <w:tc>
          <w:tcPr>
            <w:tcW w:type="dxa" w:w="1276"/>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A5441</w:t>
            </w:r>
          </w:p>
        </w:tc>
        <w:tc>
          <w:tcPr>
            <w:tcW w:type="dxa" w:w="1332"/>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mouse</w:t>
            </w:r>
          </w:p>
        </w:tc>
        <w:tc>
          <w:tcPr>
            <w:tcW w:type="dxa" w:w="2694"/>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ffffff"/>
            <w:tcMar>
              <w:top w:type="dxa" w:w="80"/>
              <w:left w:type="dxa" w:w="80"/>
              <w:bottom w:type="dxa" w:w="80"/>
              <w:right w:type="dxa" w:w="80"/>
            </w:tcMar>
            <w:vAlign w:val="top"/>
          </w:tcPr>
          <w:p>
            <w:pPr>
              <w:pStyle w:val="Body"/>
            </w:pPr>
            <w:r>
              <w:rPr>
                <w:rStyle w:val="page number"/>
                <w:rFonts w:ascii="Arial" w:hAnsi="Arial"/>
                <w:rtl w:val="0"/>
                <w:lang w:val="sv-SE"/>
              </w:rPr>
              <w:t>Sigma-Aldrich</w:t>
            </w:r>
          </w:p>
        </w:tc>
      </w:tr>
    </w:tbl>
    <w:p>
      <w:pPr>
        <w:pStyle w:val="Body"/>
        <w:widowControl w:val="0"/>
        <w:spacing w:line="240" w:lineRule="auto"/>
        <w:rPr>
          <w:rFonts w:ascii="Arial" w:cs="Arial" w:hAnsi="Arial" w:eastAsia="Arial"/>
        </w:rPr>
      </w:pPr>
    </w:p>
    <w:p>
      <w:pPr>
        <w:pStyle w:val="Body"/>
        <w:rPr>
          <w:rFonts w:ascii="Arial" w:cs="Arial" w:hAnsi="Arial" w:eastAsia="Arial"/>
        </w:rPr>
      </w:pPr>
    </w:p>
    <w:p>
      <w:pPr>
        <w:pStyle w:val="Body"/>
        <w:spacing w:line="480" w:lineRule="auto"/>
        <w:jc w:val="both"/>
      </w:pPr>
      <w:r>
        <w:rPr>
          <w:rStyle w:val="page number"/>
          <w:rFonts w:ascii="Arial" w:cs="Arial" w:hAnsi="Arial" w:eastAsia="Arial"/>
          <w:color w:val="191919"/>
          <w:sz w:val="24"/>
          <w:szCs w:val="24"/>
          <w:u w:color="191919"/>
          <w:lang w:val="en-US"/>
        </w:rPr>
      </w:r>
    </w:p>
    <w:sectPr>
      <w:headerReference w:type="default" r:id="rId4"/>
      <w:headerReference w:type="first" r:id="rId5"/>
      <w:footerReference w:type="default" r:id="rId6"/>
      <w:footerReference w:type="first" r:id="rId7"/>
      <w:pgSz w:w="11900" w:h="16840" w:orient="portrait"/>
      <w:pgMar w:top="1417" w:right="1417" w:bottom="1417" w:left="1417" w:header="708" w:footer="708"/>
      <w:titlePg w:val="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Calibri">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footer2.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w:tabs>
        <w:tab w:val="right" w:pos="9046"/>
        <w:tab w:val="clear" w:pos="9072"/>
      </w:tabs>
      <w:jc w:val="right"/>
    </w:pPr>
    <w:r>
      <w:rPr/>
      <w:fldChar w:fldCharType="begin" w:fldLock="0"/>
    </w:r>
    <w:r>
      <w:instrText xml:space="preserve"> PAGE </w:instrText>
    </w:r>
    <w:r>
      <w:rPr/>
      <w:fldChar w:fldCharType="separate" w:fldLock="0"/>
    </w:r>
    <w:r>
      <w:t>8</w:t>
    </w:r>
    <w:r>
      <w:rPr/>
      <w:fldChar w:fldCharType="end" w:fldLock="0"/>
    </w:r>
  </w:p>
  <w:p>
    <w:pPr>
      <w:pStyle w:val="header"/>
      <w:tabs>
        <w:tab w:val="right" w:pos="9046"/>
        <w:tab w:val="clear" w:pos="9072"/>
      </w:tabs>
      <w:ind w:right="360"/>
    </w:pPr>
    <w:r>
      <w:rPr>
        <w:rStyle w:val="page number"/>
        <w:rFonts w:ascii="Times New Roman" w:hAnsi="Times New Roman"/>
        <w:i w:val="1"/>
        <w:iCs w:val="1"/>
        <w:sz w:val="20"/>
        <w:szCs w:val="20"/>
        <w:rtl w:val="0"/>
      </w:rPr>
      <w:tab/>
      <w:t xml:space="preserve">                                                                                                                                 Chioureas, Beck et al</w:t>
    </w:r>
  </w:p>
</w:hdr>
</file>

<file path=word/header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1304"/>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w:name w:val="header"/>
    <w:next w:val="header"/>
    <w:pPr>
      <w:keepNext w:val="0"/>
      <w:keepLines w:val="0"/>
      <w:pageBreakBefore w:val="0"/>
      <w:widowControl w:val="1"/>
      <w:shd w:val="clear" w:color="auto" w:fill="auto"/>
      <w:tabs>
        <w:tab w:val="center" w:pos="4536"/>
        <w:tab w:val="right" w:pos="9072"/>
      </w:tabs>
      <w:suppressAutoHyphens w:val="0"/>
      <w:bidi w:val="0"/>
      <w:spacing w:before="0" w:after="0" w:line="240"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sv-SE"/>
    </w:rPr>
  </w:style>
  <w:style w:type="character" w:styleId="page number">
    <w:name w:val="page numbe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w:name w:val="Body"/>
    <w:next w:val="Body"/>
    <w:pPr>
      <w:keepNext w:val="0"/>
      <w:keepLines w:val="0"/>
      <w:pageBreakBefore w:val="0"/>
      <w:widowControl w:val="1"/>
      <w:shd w:val="clear" w:color="auto" w:fill="auto"/>
      <w:suppressAutoHyphens w:val="0"/>
      <w:bidi w:val="0"/>
      <w:spacing w:before="0" w:after="200" w:line="276"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